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both"/>
        <w:spacing w:lineRule="exact" w:line="560"/>
        <w:rPr>
          <w:sz w:val="32"/>
          <w:szCs w:val="32"/>
          <w:rFonts w:ascii="黑体" w:eastAsia="黑体" w:hAnsi="黑体" w:cs="黑体"/>
        </w:rPr>
      </w:pPr>
    </w:p>
    <w:p>
      <w:pPr>
        <w:jc w:val="center"/>
        <w:spacing w:lineRule="exact" w:line="600"/>
        <w:rPr>
          <w:sz w:val="44"/>
          <w:szCs w:val="44"/>
          <w:rFonts w:ascii="方正小标宋简体" w:eastAsia="方正小标宋简体" w:hAnsi="方正小标宋简体" w:cs="方正小标宋简体"/>
        </w:rPr>
      </w:pPr>
      <w:r>
        <w:rPr>
          <w:sz w:val="44"/>
          <w:szCs w:val="44"/>
          <w:rFonts w:ascii="方正小标宋简体" w:eastAsia="方正小标宋简体" w:hAnsi="方正小标宋简体" w:cs="方正小标宋简体"/>
        </w:rPr>
        <w:t>山东省高等学校在线开放课程平台</w:t>
      </w:r>
    </w:p>
    <w:p>
      <w:pPr>
        <w:jc w:val="center"/>
        <w:spacing w:lineRule="exact" w:line="600"/>
        <w:rPr>
          <w:sz w:val="32"/>
          <w:szCs w:val="32"/>
          <w:rFonts w:ascii="仿宋_GB2312" w:eastAsia="仿宋_GB2312" w:hAnsi="仿宋_GB2312" w:cs="仿宋_GB2312"/>
        </w:rPr>
      </w:pPr>
      <w:r>
        <w:rPr>
          <w:sz w:val="44"/>
          <w:szCs w:val="44"/>
          <w:rFonts w:ascii="方正小标宋简体" w:eastAsia="方正小标宋简体" w:hAnsi="方正小标宋简体" w:cs="方正小标宋简体"/>
        </w:rPr>
        <w:t>课程上线审核标准（试行）</w:t>
      </w:r>
    </w:p>
    <w:tbl>
      <w:tblID w:val="0"/>
      <w:tblPr>
        <w:tblStyle w:val="PO37"/>
        <w:tblCellMar>
          <w:left w:w="108" w:type="dxa"/>
          <w:top w:w="0" w:type="dxa"/>
          <w:right w:w="108" w:type="dxa"/>
          <w:bottom w:w="0" w:type="dxa"/>
        </w:tblCellMar>
        <w:tblW w:w="9300" w:type="dxa"/>
        <w:tblInd w:w="-89" w:type="dxa"/>
        <w:tblLook w:val="0004A0" w:firstRow="1" w:lastRow="0" w:firstColumn="1" w:lastColumn="0" w:noHBand="0" w:noVBand="1"/>
        <w:tblLayout w:type="fixed"/>
      </w:tblPr>
      <w:tblGrid>
        <w:gridCol w:w="774"/>
        <w:gridCol w:w="1302"/>
        <w:gridCol w:w="5298"/>
        <w:gridCol w:w="967"/>
        <w:gridCol w:w="95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atleast" w:val="507"/>
          <w:tblHeader/>
        </w:trPr>
        <w:tc>
          <w:tcPr>
            <w:tcW w:type="dxa" w:w="774"/>
            <w:cnfStyle w:val="101000001000" w:firstRow="1" w:lastRow="0" w:firstColumn="1" w:lastColumn="0" w:oddVBand="0" w:evenVBand="0" w:oddHBand="0" w:evenHBand="0" w:firstRowFirstColumn="1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rPr>
                <w:sz w:val="24"/>
                <w:szCs w:val="24"/>
                <w:rFonts w:ascii="黑体" w:eastAsia="黑体" w:hAnsi="黑体" w:cs="黑体"/>
              </w:rPr>
            </w:pPr>
            <w:r>
              <w:rPr>
                <w:sz w:val="24"/>
                <w:szCs w:val="24"/>
                <w:rFonts w:ascii="黑体" w:eastAsia="黑体" w:hAnsi="黑体" w:cs="黑体"/>
              </w:rPr>
              <w:t>序号</w:t>
            </w:r>
          </w:p>
        </w:tc>
        <w:tc>
          <w:tcPr>
            <w:tcW w:type="dxa" w:w="1302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rPr>
                <w:sz w:val="24"/>
                <w:szCs w:val="24"/>
                <w:rFonts w:ascii="黑体" w:eastAsia="黑体" w:hAnsi="黑体" w:cs="黑体"/>
              </w:rPr>
            </w:pPr>
            <w:r>
              <w:rPr>
                <w:sz w:val="24"/>
                <w:szCs w:val="24"/>
                <w:rFonts w:ascii="黑体" w:eastAsia="黑体" w:hAnsi="黑体" w:cs="黑体"/>
              </w:rPr>
              <w:t>项目名称</w:t>
            </w:r>
          </w:p>
        </w:tc>
        <w:tc>
          <w:tcPr>
            <w:tcW w:type="dxa" w:w="5298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rPr>
                <w:sz w:val="24"/>
                <w:szCs w:val="24"/>
                <w:rFonts w:ascii="黑体" w:eastAsia="黑体" w:hAnsi="黑体" w:cs="黑体"/>
              </w:rPr>
            </w:pPr>
            <w:r>
              <w:rPr>
                <w:sz w:val="24"/>
                <w:szCs w:val="24"/>
                <w:rFonts w:ascii="黑体" w:eastAsia="黑体" w:hAnsi="黑体" w:cs="黑体"/>
              </w:rPr>
              <w:t>审核标准</w:t>
            </w:r>
          </w:p>
        </w:tc>
        <w:tc>
          <w:tcPr>
            <w:tcW w:type="dxa" w:w="967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rPr>
                <w:sz w:val="24"/>
                <w:szCs w:val="24"/>
                <w:rFonts w:ascii="黑体" w:eastAsia="黑体" w:hAnsi="黑体" w:cs="黑体"/>
              </w:rPr>
            </w:pPr>
            <w:r>
              <w:rPr>
                <w:sz w:val="24"/>
                <w:szCs w:val="24"/>
                <w:rFonts w:ascii="黑体" w:eastAsia="黑体" w:hAnsi="黑体" w:cs="黑体"/>
              </w:rPr>
              <w:t>符合</w:t>
            </w:r>
          </w:p>
        </w:tc>
        <w:tc>
          <w:tcPr>
            <w:tcW w:type="dxa" w:w="959"/>
            <w:cnfStyle w:val="100000000100" w:firstRow="1" w:lastRow="0" w:firstColumn="0" w:lastColumn="0" w:oddVBand="0" w:evenVBand="0" w:oddHBand="0" w:evenHBand="0" w:firstRowFirstColumn="0" w:firstRowLastColumn="1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rPr>
                <w:sz w:val="24"/>
                <w:szCs w:val="24"/>
                <w:rFonts w:ascii="黑体" w:eastAsia="黑体" w:hAnsi="黑体" w:cs="黑体"/>
              </w:rPr>
            </w:pPr>
            <w:r>
              <w:rPr>
                <w:sz w:val="24"/>
                <w:szCs w:val="24"/>
                <w:rFonts w:ascii="黑体" w:eastAsia="黑体" w:hAnsi="黑体" w:cs="黑体"/>
              </w:rPr>
              <w:t>不符合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type="dxa" w:w="774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ind w:left="30" w:firstLine="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w w:val="101"/>
                <w:rFonts w:ascii="仿宋_GB2312" w:eastAsia="仿宋_GB2312" w:hAnsi="仿宋_GB2312" w:cs="仿宋_GB2312"/>
              </w:rPr>
              <w:t>1</w:t>
            </w:r>
          </w:p>
        </w:tc>
        <w:tc>
          <w:tcPr>
            <w:tcW w:type="dxa" w:w="130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课程介绍</w:t>
            </w:r>
          </w:p>
        </w:tc>
        <w:tc>
          <w:tcPr>
            <w:tcW w:type="dxa" w:w="5298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left"/>
              <w:spacing w:lineRule="exact" w:line="420"/>
              <w:ind w:right="286" w:firstLine="0"/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1.课程名称</w:t>
            </w:r>
            <w:r>
              <w:rPr>
                <w:spacing w:val="-17"/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：</w:t>
            </w:r>
            <w:r>
              <w:rPr>
                <w:spacing w:val="-8"/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体现课程特色，浅显易懂，需要与</w:t>
            </w:r>
            <w:r>
              <w:rPr>
                <w:spacing w:val="-8"/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发布时、选课时的课程名称一致；</w:t>
            </w:r>
          </w:p>
          <w:p>
            <w:pPr>
              <w:pStyle w:val="PO151"/>
              <w:jc w:val="left"/>
              <w:spacing w:lineRule="exact" w:line="420"/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2.课程类别</w:t>
            </w:r>
            <w:r>
              <w:rPr>
                <w:spacing w:val="-17"/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：</w:t>
            </w: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公共基础课、通识教育课、创新创</w:t>
            </w: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业类课、专业基础课、专业核心课等；</w:t>
            </w:r>
          </w:p>
          <w:p>
            <w:pPr>
              <w:pStyle w:val="PO151"/>
              <w:jc w:val="left"/>
              <w:spacing w:lineRule="exact" w:line="420"/>
              <w:ind w:right="286" w:firstLine="0"/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3.学时学分：学时学分标注清楚，原则上16-</w:t>
            </w: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18学时对应1学分；</w:t>
            </w:r>
          </w:p>
          <w:p>
            <w:pPr>
              <w:pStyle w:val="PO151"/>
              <w:jc w:val="left"/>
              <w:spacing w:lineRule="exact" w:line="420"/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4.课程图片：体现学科背景特点的精美图片，增</w:t>
            </w: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 xml:space="preserve">加课程吸引力；最佳尺寸 750*422像素；</w:t>
            </w:r>
          </w:p>
          <w:p>
            <w:pPr>
              <w:pStyle w:val="PO151"/>
              <w:jc w:val="left"/>
              <w:spacing w:lineRule="exact" w:line="420"/>
              <w:ind w:right="286" w:firstLine="0"/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5.授课对象：如果课程对选修学生的专业、</w:t>
            </w: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年级有特殊要求，需要特别说明，专业课建</w:t>
            </w: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议提供适用专业（专业代码）和适用教材；</w:t>
            </w:r>
          </w:p>
          <w:p>
            <w:pPr>
              <w:pStyle w:val="PO151"/>
              <w:jc w:val="left"/>
              <w:spacing w:lineRule="exact" w:line="420"/>
              <w:ind w:right="286" w:firstLine="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6.推介词：用“一句话”言简意赅地介绍课</w:t>
            </w:r>
            <w:r>
              <w:rPr>
                <w:color w:val="000000" w:themeColor="text1"/>
                <w:sz w:val="24"/>
                <w:szCs w:val="24"/>
                <w:rFonts w:ascii="仿宋_GB2312" w:eastAsia="仿宋_GB2312" w:hAnsi="仿宋_GB2312" w:cs="仿宋_GB2312"/>
              </w:rPr>
              <w:t>程。</w:t>
            </w:r>
          </w:p>
        </w:tc>
        <w:tc>
          <w:tcPr>
            <w:tcW w:type="dxa" w:w="967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  <w:tc>
          <w:tcPr>
            <w:tcW w:type="dxa" w:w="959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type="dxa" w:w="774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ind w:left="195" w:firstLine="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sz w:val="24"/>
                <w:szCs w:val="24"/>
                <w:rFonts w:ascii="仿宋_GB2312" w:eastAsia="仿宋_GB2312" w:hAnsi="仿宋_GB2312" w:cs="仿宋_GB2312"/>
              </w:rPr>
              <w:t>2</w:t>
            </w:r>
          </w:p>
        </w:tc>
        <w:tc>
          <w:tcPr>
            <w:tcW w:type="dxa" w:w="130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sz w:val="24"/>
                <w:szCs w:val="24"/>
                <w:rFonts w:ascii="仿宋_GB2312" w:eastAsia="仿宋_GB2312" w:hAnsi="仿宋_GB2312" w:cs="仿宋_GB2312"/>
              </w:rPr>
              <w:t>课程概要</w:t>
            </w:r>
            <w:r>
              <w:rPr>
                <w:sz w:val="24"/>
                <w:szCs w:val="24"/>
                <w:rFonts w:ascii="仿宋_GB2312" w:eastAsia="仿宋_GB2312" w:hAnsi="仿宋_GB2312" w:cs="仿宋_GB2312"/>
              </w:rPr>
              <w:t>设计</w:t>
            </w:r>
          </w:p>
        </w:tc>
        <w:tc>
          <w:tcPr>
            <w:tcW w:type="dxa" w:w="5298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1.建设背景：体现课程的时代背景、学生特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质、学科特色等；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2.建设目标：兼顾知识传承、能力培养和素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质提升；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3.设计原则：体现支撑课程目标的特质；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4.内容涵盖：根据设计原则设计章节计划与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教学知识点；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5.教学模式：</w:t>
            </w:r>
            <w:r>
              <w:rPr>
                <w:sz w:val="24"/>
                <w:szCs w:val="24"/>
                <w:rFonts w:ascii="仿宋_GB2312" w:eastAsia="仿宋_GB2312" w:hAnsi="仿宋_GB2312" w:cs="仿宋_GB2312"/>
              </w:rPr>
              <w:t>混合式课程和完全在线式课</w:t>
            </w:r>
            <w:r>
              <w:rPr>
                <w:sz w:val="24"/>
                <w:szCs w:val="24"/>
                <w:rFonts w:ascii="仿宋_GB2312" w:eastAsia="仿宋_GB2312" w:hAnsi="仿宋_GB2312" w:cs="仿宋_GB2312"/>
              </w:rPr>
              <w:t>程，其中混合式课程应有线下课程设计；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6.学时分配：合理安排线上、线下课程学分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学时；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7.课程考核：多元化的考核方式，包含在线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成绩、见面课成绩及期末成绩。</w:t>
            </w:r>
          </w:p>
        </w:tc>
        <w:tc>
          <w:tcPr>
            <w:tcW w:type="dxa" w:w="967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  <w:tc>
          <w:tcPr>
            <w:tcW w:type="dxa" w:w="959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type="dxa" w:w="774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ind w:left="33" w:firstLine="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sz w:val="24"/>
                <w:szCs w:val="24"/>
                <w:rFonts w:ascii="仿宋_GB2312" w:eastAsia="仿宋_GB2312" w:hAnsi="仿宋_GB2312" w:cs="仿宋_GB2312"/>
              </w:rPr>
              <w:t>3</w:t>
            </w:r>
          </w:p>
        </w:tc>
        <w:tc>
          <w:tcPr>
            <w:tcW w:type="dxa" w:w="130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sz w:val="24"/>
                <w:szCs w:val="24"/>
                <w:rFonts w:ascii="仿宋_GB2312" w:eastAsia="仿宋_GB2312" w:hAnsi="仿宋_GB2312" w:cs="仿宋_GB2312"/>
              </w:rPr>
              <w:t>教学团队</w:t>
            </w:r>
          </w:p>
        </w:tc>
        <w:tc>
          <w:tcPr>
            <w:tcW w:type="dxa" w:w="5298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1.角色：分教学主讲人、教学助教、观摩、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其他；需要配置不同老师的角色、权限；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2.团队介绍：课程负责人和主讲教师的简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介，课程负责人需本校正式老师，如有外籍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教师需得到学校证明；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3.展现形式：简洁，应配老师图片；将课程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负责人重点展示。</w:t>
            </w:r>
          </w:p>
        </w:tc>
        <w:tc>
          <w:tcPr>
            <w:tcW w:type="dxa" w:w="967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  <w:tc>
          <w:tcPr>
            <w:tcW w:type="dxa" w:w="959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type="dxa" w:w="774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ind w:left="30" w:firstLine="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A181F"/>
                <w:sz w:val="24"/>
                <w:szCs w:val="24"/>
                <w:w w:val="101"/>
                <w:rFonts w:ascii="仿宋_GB2312" w:eastAsia="仿宋_GB2312" w:hAnsi="仿宋_GB2312" w:cs="仿宋_GB2312"/>
              </w:rPr>
              <w:t>4</w:t>
            </w:r>
          </w:p>
        </w:tc>
        <w:tc>
          <w:tcPr>
            <w:tcW w:type="dxa" w:w="130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2D2D31"/>
                <w:sz w:val="24"/>
                <w:szCs w:val="24"/>
                <w:rFonts w:ascii="仿宋_GB2312" w:eastAsia="仿宋_GB2312" w:hAnsi="仿宋_GB2312" w:cs="仿宋_GB2312"/>
              </w:rPr>
              <w:t>课程目录</w:t>
            </w:r>
          </w:p>
        </w:tc>
        <w:tc>
          <w:tcPr>
            <w:tcW w:type="dxa" w:w="5298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1.章节结构：课程目录应根据课程教学计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 xml:space="preserve">划， 以章、节为目录结构 ；可根据需要设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置绪论；可根据需要设置小节知识点；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2.章节简介：所有章节都有简介。</w:t>
            </w:r>
          </w:p>
        </w:tc>
        <w:tc>
          <w:tcPr>
            <w:tcW w:type="dxa" w:w="967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  <w:tc>
          <w:tcPr>
            <w:tcW w:type="dxa" w:w="959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type="dxa" w:w="774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ind w:left="36" w:firstLine="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2B2A2F"/>
                <w:sz w:val="24"/>
                <w:szCs w:val="24"/>
                <w:w w:val="108"/>
                <w:rFonts w:ascii="仿宋_GB2312" w:eastAsia="仿宋_GB2312" w:hAnsi="仿宋_GB2312" w:cs="仿宋_GB2312"/>
              </w:rPr>
              <w:t>5</w:t>
            </w:r>
          </w:p>
        </w:tc>
        <w:tc>
          <w:tcPr>
            <w:tcW w:type="dxa" w:w="130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2D2D31"/>
                <w:sz w:val="24"/>
                <w:szCs w:val="24"/>
                <w:rFonts w:ascii="仿宋_GB2312" w:eastAsia="仿宋_GB2312" w:hAnsi="仿宋_GB2312" w:cs="仿宋_GB2312"/>
              </w:rPr>
              <w:t>课程视频</w:t>
            </w:r>
          </w:p>
        </w:tc>
        <w:tc>
          <w:tcPr>
            <w:tcW w:type="dxa" w:w="5298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1.按授课单元录制，每个视频针对1-2个知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识点，要求结构完整；视频需有片头和片尾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2.每个知识点视频呈现5-15分钟为宜，最多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不超过20分钟；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3.视频的片头和片尾的总长一般应控制在10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秒以内；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4.时长超过5分钟的视频应插入弹题，弹题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应放在合理位置便于加深学生对知识的理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解，弹题不计入成绩；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5.每1学分对应教学视频（不含素材）</w:t>
            </w:r>
            <w:r>
              <w:rPr>
                <w:b w:val="1"/>
                <w:color w:val="1D1C23"/>
                <w:sz w:val="24"/>
                <w:szCs w:val="24"/>
                <w:u w:val="single"/>
                <w:rFonts w:ascii="仿宋_GB2312" w:eastAsia="仿宋_GB2312" w:hAnsi="仿宋_GB2312" w:cs="仿宋_GB2312"/>
              </w:rPr>
              <w:t>原则</w:t>
            </w:r>
            <w:r>
              <w:rPr>
                <w:b w:val="1"/>
                <w:color w:val="1D1C23"/>
                <w:sz w:val="24"/>
                <w:szCs w:val="24"/>
                <w:u w:val="single"/>
                <w:rFonts w:ascii="仿宋_GB2312" w:eastAsia="仿宋_GB2312" w:hAnsi="仿宋_GB2312" w:cs="仿宋_GB2312"/>
              </w:rPr>
              <w:t>上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不少于250分钟。</w:t>
            </w:r>
          </w:p>
        </w:tc>
        <w:tc>
          <w:tcPr>
            <w:tcW w:type="dxa" w:w="967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  <w:tc>
          <w:tcPr>
            <w:tcW w:type="dxa" w:w="959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type="dxa" w:w="774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ind w:left="36" w:firstLine="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2B2A2F"/>
                <w:sz w:val="24"/>
                <w:szCs w:val="24"/>
                <w:w w:val="108"/>
                <w:rFonts w:ascii="仿宋_GB2312" w:eastAsia="仿宋_GB2312" w:hAnsi="仿宋_GB2312" w:cs="仿宋_GB2312"/>
              </w:rPr>
              <w:t>6</w:t>
            </w:r>
          </w:p>
        </w:tc>
        <w:tc>
          <w:tcPr>
            <w:tcW w:type="dxa" w:w="130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2D2D31"/>
                <w:sz w:val="24"/>
                <w:szCs w:val="24"/>
                <w:rFonts w:ascii="仿宋_GB2312" w:eastAsia="仿宋_GB2312" w:hAnsi="仿宋_GB2312" w:cs="仿宋_GB2312"/>
              </w:rPr>
              <w:t>章节测试</w:t>
            </w:r>
          </w:p>
        </w:tc>
        <w:tc>
          <w:tcPr>
            <w:tcW w:type="dxa" w:w="5298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1.题数：每章应5道以上；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2.题型：建议客观题；如果课程要求有主观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题，请安排以下事项: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（1）给出批阅要点和评分标准；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（2）课程教学团队负责批阅；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（3）如果团队不承诺批阅，为了保证公正的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教学质量，建议教学团队培训选课学校专业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老师；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（4）答案解析：每道题都应有答案解析，便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于学生自行查阅。</w:t>
            </w:r>
          </w:p>
        </w:tc>
        <w:tc>
          <w:tcPr>
            <w:tcW w:type="dxa" w:w="967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  <w:tc>
          <w:tcPr>
            <w:tcW w:type="dxa" w:w="959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type="dxa" w:w="774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ind w:left="45" w:firstLine="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2B2A2F"/>
                <w:sz w:val="24"/>
                <w:szCs w:val="24"/>
                <w:rFonts w:ascii="仿宋_GB2312" w:eastAsia="仿宋_GB2312" w:hAnsi="仿宋_GB2312" w:cs="仿宋_GB2312"/>
              </w:rPr>
              <w:t>7</w:t>
            </w:r>
          </w:p>
        </w:tc>
        <w:tc>
          <w:tcPr>
            <w:tcW w:type="dxa" w:w="130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sz w:val="24"/>
                <w:szCs w:val="24"/>
                <w:rFonts w:ascii="仿宋_GB2312" w:eastAsia="仿宋_GB2312" w:hAnsi="仿宋_GB2312" w:cs="仿宋_GB2312"/>
              </w:rPr>
              <w:t>章节讨论</w:t>
            </w:r>
          </w:p>
        </w:tc>
        <w:tc>
          <w:tcPr>
            <w:tcW w:type="dxa" w:w="5298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1.题数：每章应3道以上；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2.教学配合：要求教学团队在教学过程中多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关注，多回复。</w:t>
            </w:r>
          </w:p>
        </w:tc>
        <w:tc>
          <w:tcPr>
            <w:tcW w:type="dxa" w:w="967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  <w:tc>
          <w:tcPr>
            <w:tcW w:type="dxa" w:w="959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820"/>
        </w:trPr>
        <w:tc>
          <w:tcPr>
            <w:tcW w:type="dxa" w:w="774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tabs>
                <w:tab w:val="left" w:pos="453"/>
              </w:tabs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2B2A2F"/>
                <w:sz w:val="24"/>
                <w:szCs w:val="24"/>
                <w:rFonts w:ascii="仿宋_GB2312" w:eastAsia="仿宋_GB2312" w:hAnsi="仿宋_GB2312" w:cs="仿宋_GB2312"/>
              </w:rPr>
              <w:t>8</w:t>
            </w:r>
          </w:p>
        </w:tc>
        <w:tc>
          <w:tcPr>
            <w:tcW w:type="dxa" w:w="130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center"/>
              <w:spacing w:lineRule="exact" w:line="400"/>
              <w:tabs>
                <w:tab w:val="left" w:pos="453"/>
              </w:tabs>
              <w:rPr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2B2A2F"/>
                <w:sz w:val="24"/>
                <w:szCs w:val="24"/>
                <w:rFonts w:ascii="仿宋_GB2312" w:eastAsia="仿宋_GB2312" w:hAnsi="仿宋_GB2312" w:cs="仿宋_GB2312"/>
              </w:rPr>
              <w:t>课程考核</w:t>
            </w:r>
          </w:p>
        </w:tc>
        <w:tc>
          <w:tcPr>
            <w:tcW w:type="dxa" w:w="5298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1.线上考试建议采用试题库形式组卷,建议题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库数量应支持3套试卷、题型要求（同第6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项章节测试）；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2.期末试卷和补考卷的试题数量（建议≥40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题）和难度应能够支撑所要求的考试时间；</w:t>
            </w:r>
          </w:p>
        </w:tc>
        <w:tc>
          <w:tcPr>
            <w:tcW w:type="dxa" w:w="967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  <w:tc>
          <w:tcPr>
            <w:tcW w:type="dxa" w:w="959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340"/>
        </w:trPr>
        <w:tc>
          <w:tcPr>
            <w:tcW w:type="dxa" w:w="774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/>
        </w:tc>
        <w:tc>
          <w:tcPr>
            <w:tcW w:type="dxa" w:w="130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/>
        </w:tc>
        <w:tc>
          <w:tcPr>
            <w:tcW w:type="dxa" w:w="5298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混合式学习成绩</w:t>
            </w:r>
            <w:r>
              <w:rPr>
                <w:b w:val="1"/>
                <w:color w:val="1D1C23"/>
                <w:sz w:val="24"/>
                <w:szCs w:val="24"/>
                <w:u w:val="single"/>
                <w:rFonts w:ascii="仿宋_GB2312" w:eastAsia="仿宋_GB2312" w:hAnsi="仿宋_GB2312" w:cs="仿宋_GB2312"/>
              </w:rPr>
              <w:t>（以下比例仅供参考）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：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1.线上学习成绩占比30%（包括在线学习及论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坛成绩）；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2.线下学习成绩占比30%；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3.期末考试成绩占比40%。</w:t>
            </w:r>
          </w:p>
        </w:tc>
        <w:tc>
          <w:tcPr>
            <w:tcW w:type="dxa" w:w="967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/>
        </w:tc>
        <w:tc>
          <w:tcPr>
            <w:tcW w:type="dxa" w:w="959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type="dxa" w:w="774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/>
        </w:tc>
        <w:tc>
          <w:tcPr>
            <w:tcW w:type="dxa" w:w="130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/>
        </w:tc>
        <w:tc>
          <w:tcPr>
            <w:tcW w:type="dxa" w:w="5298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在线学习成绩</w:t>
            </w:r>
            <w:r>
              <w:rPr>
                <w:b w:val="1"/>
                <w:color w:val="1D1C23"/>
                <w:sz w:val="24"/>
                <w:szCs w:val="24"/>
                <w:u w:val="single"/>
                <w:rFonts w:ascii="仿宋_GB2312" w:eastAsia="仿宋_GB2312" w:hAnsi="仿宋_GB2312" w:cs="仿宋_GB2312"/>
              </w:rPr>
              <w:t>（以下比例仅供参考）</w:t>
            </w: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：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1.线上学习成绩占比50%；</w:t>
            </w:r>
          </w:p>
          <w:p>
            <w:pPr>
              <w:pStyle w:val="PO151"/>
              <w:jc w:val="left"/>
              <w:spacing w:lineRule="exact" w:line="420"/>
              <w:ind w:right="283" w:firstLine="0"/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</w:pPr>
            <w:r>
              <w:rPr>
                <w:color w:val="1D1C23"/>
                <w:sz w:val="24"/>
                <w:szCs w:val="24"/>
                <w:rFonts w:ascii="仿宋_GB2312" w:eastAsia="仿宋_GB2312" w:hAnsi="仿宋_GB2312" w:cs="仿宋_GB2312"/>
              </w:rPr>
              <w:t>2.期末考试成绩占比50%。</w:t>
            </w:r>
          </w:p>
        </w:tc>
        <w:tc>
          <w:tcPr>
            <w:tcW w:type="dxa" w:w="967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  <w:tc>
          <w:tcPr>
            <w:tcW w:type="dxa" w:w="959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</w:tcPr>
          <w:p>
            <w:pPr>
              <w:jc w:val="center"/>
              <w:spacing w:lineRule="exact" w:line="400"/>
              <w:rPr>
                <w:sz w:val="24"/>
                <w:szCs w:val="24"/>
                <w:rFonts w:ascii="仿宋_GB2312" w:eastAsia="仿宋_GB2312" w:hAnsi="仿宋_GB2312" w:cs="仿宋_GB2312"/>
              </w:rPr>
            </w:pPr>
          </w:p>
        </w:tc>
      </w:tr>
    </w:tbl>
    <w:p>
      <w:pPr>
        <w:jc w:val="both"/>
        <w:spacing w:lineRule="exact" w:line="572"/>
        <w:rPr>
          <w:sz w:val="32"/>
          <w:szCs w:val="32"/>
          <w:rFonts w:ascii="仿宋_GB2312" w:eastAsia="仿宋_GB2312" w:hAnsi="仿宋_GB2312" w:cs="仿宋_GB2312"/>
        </w:rPr>
      </w:pPr>
    </w:p>
    <w:p>
      <w:pPr>
        <w:spacing w:lineRule="auto" w:line="259"/>
        <w:rPr>
          <w:color w:val="auto"/>
          <w:sz w:val="21"/>
          <w:szCs w:val="21"/>
          <w:rFonts w:ascii="Calibri" w:eastAsia="宋体" w:hAnsi="宋体" w:cs="宋体"/>
        </w:rPr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  <w:style w:styleId="PO37" w:type="table">
    <w:name w:val="Table Grid"/>
    <w:basedOn w:val="PO3"/>
    <w:uiPriority w:val="37"/>
    <w:pPr>
      <w:spacing w:lineRule="auto" w:line="240" w:after="0"/>
      <w:rPr/>
    </w:pPr>
    <w:rPr/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customStyle="1" w:styleId="PO151" w:type="paragraph">
    <w:name w:val="Table Paragraph"/>
    <w:basedOn w:val="PO1"/>
    <w:qFormat/>
    <w:uiPriority w:val="151"/>
    <w:pPr>
      <w:jc w:val="left"/>
      <w:rPr/>
    </w:pPr>
    <w:rPr>
      <w:sz w:val="22"/>
      <w:szCs w:val="22"/>
      <w:rFonts w:ascii="宋体" w:eastAsia="宋体" w:hAnsi="宋体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3</Pages>
  <Paragraphs>0</Paragraphs>
  <Words>64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