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关于组织收看创新创业教育系列直播讲座的通知</w:t>
      </w:r>
    </w:p>
    <w:p>
      <w:pPr>
        <w:jc w:val="left"/>
        <w:rPr>
          <w:rFonts w:ascii="仿宋" w:hAnsi="仿宋" w:eastAsia="仿宋"/>
          <w:sz w:val="28"/>
          <w:szCs w:val="28"/>
        </w:rPr>
      </w:pPr>
      <w:r>
        <w:rPr>
          <w:rFonts w:hint="eastAsia" w:ascii="仿宋" w:hAnsi="仿宋" w:eastAsia="仿宋"/>
          <w:sz w:val="28"/>
          <w:szCs w:val="28"/>
        </w:rPr>
        <w:t>各学院（部）：</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根据山东省教育厅相关部门的通知，为更好地开展创新创业教育工作，降低疫情对“互联网＋”大赛组织备赛工作的影响，特组织面向创新创业教育系列直播讲座，有关事项通知如下：</w:t>
      </w:r>
    </w:p>
    <w:p>
      <w:pPr>
        <w:pStyle w:val="6"/>
        <w:numPr>
          <w:ilvl w:val="0"/>
          <w:numId w:val="1"/>
        </w:numPr>
        <w:adjustRightInd w:val="0"/>
        <w:snapToGrid w:val="0"/>
        <w:spacing w:line="360" w:lineRule="auto"/>
        <w:ind w:left="0" w:firstLine="560"/>
        <w:jc w:val="left"/>
        <w:rPr>
          <w:rFonts w:ascii="仿宋" w:hAnsi="仿宋" w:eastAsia="仿宋"/>
          <w:sz w:val="28"/>
          <w:szCs w:val="28"/>
        </w:rPr>
      </w:pPr>
      <w:r>
        <w:rPr>
          <w:rFonts w:hint="eastAsia" w:ascii="仿宋" w:hAnsi="仿宋" w:eastAsia="仿宋"/>
          <w:sz w:val="28"/>
          <w:szCs w:val="28"/>
        </w:rPr>
        <w:t>讲座内容</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讲座将围绕“互联网＋”大学生创新创业大赛，针对学校如何构建数字化组织推进大赛整体工作、大赛关键问题解析、双创导师的整体框架思维、商业计划书的价值与撰写、科技成果转化与实践、项目路演和答辩等进行详细讲解。</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二、讲座时间</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讲座时间安排详见附件1。</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三、人员范围</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各学院（部）分管双创的教学、学生管理人员，双创指导教师和在校学生，各类人员可按讲座内容选择讲座。</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四、讲座形式</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讲座采用视频直播的形式，使用中国高校众创空间联盟移动服务平台。平台入群方式：第一步，登录联盟移动端链接</w:t>
      </w:r>
      <w:r>
        <w:rPr>
          <w:rFonts w:ascii="Times New Roman" w:hAnsi="Times New Roman" w:eastAsia="仿宋" w:cs="Times New Roman"/>
          <w:sz w:val="28"/>
          <w:szCs w:val="28"/>
        </w:rPr>
        <w:t>qdu.edum.busionline.com</w:t>
      </w:r>
      <w:r>
        <w:rPr>
          <w:rFonts w:hint="eastAsia" w:ascii="仿宋" w:hAnsi="仿宋" w:eastAsia="仿宋"/>
          <w:sz w:val="28"/>
          <w:szCs w:val="28"/>
        </w:rPr>
        <w:t>注册，第二步扫描下方二维码入群。</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五、有关要求</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1.请各学院（部）根据系列讲座安排组织好各类人员参加直播讲座学习。</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2.通过学习，各学院（部）要认真研究如何构建有效的双创管理工作的数字化组织，充分发挥好网络平台的作用，做好“互联网＋” 大赛项目的遴选培育，全力保障疫情期间“互联网＋”大赛备赛工作有效实施和有序推进。</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3.未尽事宜，请与青岛大学中国高校众创空间联盟服务平台管理员杨敏或联盟平台小秘书联系。</w:t>
      </w:r>
    </w:p>
    <w:p>
      <w:pPr>
        <w:adjustRightInd w:val="0"/>
        <w:snapToGrid w:val="0"/>
        <w:spacing w:line="360" w:lineRule="auto"/>
        <w:ind w:firstLine="560" w:firstLineChars="200"/>
        <w:jc w:val="center"/>
        <w:rPr>
          <w:rFonts w:ascii="仿宋" w:hAnsi="仿宋" w:eastAsia="仿宋"/>
          <w:sz w:val="28"/>
          <w:szCs w:val="28"/>
        </w:rPr>
      </w:pPr>
      <w:r>
        <w:rPr>
          <w:rFonts w:hint="eastAsia" w:ascii="仿宋" w:hAnsi="仿宋" w:eastAsia="仿宋"/>
          <w:sz w:val="28"/>
          <w:szCs w:val="28"/>
        </w:rPr>
        <w:drawing>
          <wp:inline distT="0" distB="0" distL="0" distR="0">
            <wp:extent cx="2063115" cy="2915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3450" cy="2916000"/>
                    </a:xfrm>
                    <a:prstGeom prst="rect">
                      <a:avLst/>
                    </a:prstGeom>
                  </pic:spPr>
                </pic:pic>
              </a:graphicData>
            </a:graphic>
          </wp:inline>
        </w:drawing>
      </w:r>
    </w:p>
    <w:p>
      <w:pPr>
        <w:adjustRightInd w:val="0"/>
        <w:snapToGrid w:val="0"/>
        <w:spacing w:line="360" w:lineRule="auto"/>
        <w:ind w:firstLine="560" w:firstLineChars="200"/>
        <w:jc w:val="left"/>
        <w:rPr>
          <w:rFonts w:ascii="仿宋" w:hAnsi="仿宋" w:eastAsia="仿宋"/>
          <w:sz w:val="28"/>
          <w:szCs w:val="28"/>
        </w:rPr>
      </w:pP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附件：1.山东省高校创新创业教育系列直播讲座安排</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2.宣讲人情况介绍</w:t>
      </w:r>
    </w:p>
    <w:p>
      <w:pPr>
        <w:adjustRightInd w:val="0"/>
        <w:snapToGrid w:val="0"/>
        <w:spacing w:line="360" w:lineRule="auto"/>
        <w:ind w:firstLine="560" w:firstLineChars="200"/>
        <w:jc w:val="left"/>
        <w:rPr>
          <w:rFonts w:ascii="仿宋" w:hAnsi="仿宋" w:eastAsia="仿宋"/>
          <w:sz w:val="28"/>
          <w:szCs w:val="28"/>
        </w:rPr>
      </w:pPr>
    </w:p>
    <w:p>
      <w:pPr>
        <w:adjustRightInd w:val="0"/>
        <w:snapToGrid w:val="0"/>
        <w:spacing w:line="360" w:lineRule="auto"/>
        <w:ind w:firstLine="560" w:firstLineChars="200"/>
        <w:jc w:val="left"/>
        <w:rPr>
          <w:rFonts w:ascii="仿宋" w:hAnsi="仿宋" w:eastAsia="仿宋"/>
          <w:sz w:val="28"/>
          <w:szCs w:val="28"/>
        </w:rPr>
      </w:pP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创新创业学院</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2020年 3月20日</w:t>
      </w:r>
    </w:p>
    <w:p>
      <w:pPr>
        <w:widowControl/>
        <w:jc w:val="left"/>
        <w:rPr>
          <w:rFonts w:ascii="仿宋" w:hAnsi="仿宋" w:eastAsia="仿宋"/>
          <w:sz w:val="28"/>
          <w:szCs w:val="28"/>
        </w:rPr>
      </w:pPr>
      <w:r>
        <w:rPr>
          <w:rFonts w:ascii="仿宋" w:hAnsi="仿宋" w:eastAsia="仿宋"/>
          <w:sz w:val="28"/>
          <w:szCs w:val="28"/>
        </w:rPr>
        <w:br w:type="page"/>
      </w:r>
    </w:p>
    <w:p>
      <w:pPr>
        <w:adjustRightInd w:val="0"/>
        <w:snapToGrid w:val="0"/>
        <w:spacing w:line="360" w:lineRule="auto"/>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jc w:val="left"/>
        <w:rPr>
          <w:rFonts w:ascii="仿宋" w:hAnsi="仿宋" w:eastAsia="仿宋"/>
          <w:sz w:val="28"/>
          <w:szCs w:val="28"/>
        </w:rPr>
      </w:pPr>
      <w:r>
        <w:rPr>
          <w:rFonts w:hint="eastAsia" w:ascii="仿宋" w:hAnsi="仿宋" w:eastAsia="仿宋"/>
          <w:sz w:val="28"/>
          <w:szCs w:val="28"/>
        </w:rPr>
        <w:t>附件1：</w:t>
      </w:r>
    </w:p>
    <w:p>
      <w:pPr>
        <w:adjustRightInd w:val="0"/>
        <w:snapToGrid w:val="0"/>
        <w:spacing w:line="360" w:lineRule="auto"/>
        <w:jc w:val="center"/>
        <w:rPr>
          <w:rFonts w:ascii="黑体" w:hAnsi="黑体" w:eastAsia="黑体"/>
          <w:sz w:val="30"/>
          <w:szCs w:val="30"/>
        </w:rPr>
      </w:pPr>
      <w:r>
        <w:rPr>
          <w:rFonts w:hint="eastAsia" w:ascii="黑体" w:hAnsi="黑体" w:eastAsia="黑体"/>
          <w:sz w:val="30"/>
          <w:szCs w:val="30"/>
        </w:rPr>
        <w:t>创新创业教育系列直播讲座安排</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688"/>
        <w:gridCol w:w="5247"/>
        <w:gridCol w:w="312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黑体" w:hAnsi="黑体" w:eastAsia="黑体"/>
                <w:sz w:val="24"/>
                <w:szCs w:val="24"/>
              </w:rPr>
            </w:pPr>
            <w:r>
              <w:rPr>
                <w:rFonts w:ascii="黑体" w:hAnsi="黑体" w:eastAsia="黑体"/>
                <w:sz w:val="24"/>
                <w:szCs w:val="24"/>
              </w:rPr>
              <w:br w:type="page"/>
            </w:r>
            <w:r>
              <w:rPr>
                <w:rFonts w:hint="eastAsia" w:ascii="黑体" w:hAnsi="黑体" w:eastAsia="黑体"/>
                <w:sz w:val="24"/>
                <w:szCs w:val="24"/>
              </w:rPr>
              <w:t>序号</w:t>
            </w:r>
          </w:p>
        </w:tc>
        <w:tc>
          <w:tcPr>
            <w:tcW w:w="1301" w:type="pct"/>
            <w:vAlign w:val="center"/>
          </w:tcPr>
          <w:p>
            <w:pPr>
              <w:widowControl/>
              <w:adjustRightInd w:val="0"/>
              <w:snapToGrid w:val="0"/>
              <w:spacing w:line="360" w:lineRule="exact"/>
              <w:jc w:val="center"/>
              <w:rPr>
                <w:rFonts w:ascii="黑体" w:hAnsi="黑体" w:eastAsia="黑体"/>
                <w:sz w:val="24"/>
                <w:szCs w:val="24"/>
              </w:rPr>
            </w:pPr>
            <w:r>
              <w:rPr>
                <w:rFonts w:hint="eastAsia" w:ascii="黑体" w:hAnsi="黑体" w:eastAsia="黑体"/>
                <w:sz w:val="24"/>
                <w:szCs w:val="24"/>
              </w:rPr>
              <w:t>讲座名字</w:t>
            </w:r>
          </w:p>
        </w:tc>
        <w:tc>
          <w:tcPr>
            <w:tcW w:w="1851" w:type="pct"/>
            <w:vAlign w:val="center"/>
          </w:tcPr>
          <w:p>
            <w:pPr>
              <w:widowControl/>
              <w:adjustRightInd w:val="0"/>
              <w:snapToGrid w:val="0"/>
              <w:spacing w:line="360" w:lineRule="exact"/>
              <w:jc w:val="center"/>
              <w:rPr>
                <w:rFonts w:ascii="黑体" w:hAnsi="黑体" w:eastAsia="黑体"/>
                <w:sz w:val="24"/>
                <w:szCs w:val="24"/>
              </w:rPr>
            </w:pPr>
            <w:r>
              <w:rPr>
                <w:rFonts w:hint="eastAsia" w:ascii="黑体" w:hAnsi="黑体" w:eastAsia="黑体"/>
                <w:sz w:val="24"/>
                <w:szCs w:val="24"/>
              </w:rPr>
              <w:t>简介</w:t>
            </w:r>
          </w:p>
        </w:tc>
        <w:tc>
          <w:tcPr>
            <w:tcW w:w="1101" w:type="pct"/>
            <w:vAlign w:val="center"/>
          </w:tcPr>
          <w:p>
            <w:pPr>
              <w:widowControl/>
              <w:adjustRightInd w:val="0"/>
              <w:snapToGrid w:val="0"/>
              <w:spacing w:line="360" w:lineRule="exact"/>
              <w:jc w:val="center"/>
              <w:rPr>
                <w:rFonts w:ascii="黑体" w:hAnsi="黑体" w:eastAsia="黑体"/>
                <w:sz w:val="24"/>
                <w:szCs w:val="24"/>
              </w:rPr>
            </w:pPr>
            <w:r>
              <w:rPr>
                <w:rFonts w:hint="eastAsia" w:ascii="黑体" w:hAnsi="黑体" w:eastAsia="黑体"/>
                <w:sz w:val="24"/>
                <w:szCs w:val="24"/>
              </w:rPr>
              <w:t>适合对象</w:t>
            </w:r>
          </w:p>
        </w:tc>
        <w:tc>
          <w:tcPr>
            <w:tcW w:w="460" w:type="pct"/>
            <w:vAlign w:val="center"/>
          </w:tcPr>
          <w:p>
            <w:pPr>
              <w:widowControl/>
              <w:adjustRightInd w:val="0"/>
              <w:snapToGrid w:val="0"/>
              <w:spacing w:line="360" w:lineRule="exact"/>
              <w:jc w:val="center"/>
              <w:rPr>
                <w:rFonts w:ascii="黑体" w:hAnsi="黑体" w:eastAsia="黑体"/>
                <w:sz w:val="24"/>
                <w:szCs w:val="24"/>
              </w:rPr>
            </w:pPr>
            <w:r>
              <w:rPr>
                <w:rFonts w:hint="eastAsia" w:ascii="黑体" w:hAnsi="黑体" w:eastAsia="黑体"/>
                <w:sz w:val="24"/>
                <w:szCs w:val="24"/>
              </w:rPr>
              <w:t>直播时间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1</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大赛关键问题解析</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围绕大赛过往和备赛的总结复盘，对今年组织备赛的构思谋划、优秀项目来源、国赛优秀项目特点、投资人眼中的好项目等重点问题进行解析</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高校分管双创工作的领导及学院负责双创工作的老师</w:t>
            </w:r>
          </w:p>
        </w:tc>
        <w:tc>
          <w:tcPr>
            <w:tcW w:w="460"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3月21日</w:t>
            </w:r>
          </w:p>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2</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如何建立有效的创新创业导师的整体思维框架</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思维框架指导具体行动，培养优秀双创导师植入整体思维框架</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指导教师及相关人员</w:t>
            </w:r>
          </w:p>
        </w:tc>
        <w:tc>
          <w:tcPr>
            <w:tcW w:w="460" w:type="pct"/>
            <w:vMerge w:val="restar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月</w:t>
            </w:r>
            <w:bookmarkStart w:id="0" w:name="_GoBack"/>
            <w:bookmarkEnd w:id="0"/>
            <w:r>
              <w:rPr>
                <w:rFonts w:hint="eastAsia" w:ascii="仿宋" w:hAnsi="仿宋" w:eastAsia="仿宋"/>
                <w:sz w:val="24"/>
                <w:szCs w:val="24"/>
              </w:rPr>
              <w:t>22日</w:t>
            </w:r>
          </w:p>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3</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从大赛金奖案例谈谈优秀创新创业导师的定位与使命</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探讨大赛场景下优秀的双创导师的定位以及具体使命</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指导教师及相关人员</w:t>
            </w:r>
          </w:p>
        </w:tc>
        <w:tc>
          <w:tcPr>
            <w:tcW w:w="460" w:type="pct"/>
            <w:vMerge w:val="continue"/>
            <w:vAlign w:val="center"/>
          </w:tcPr>
          <w:p>
            <w:pPr>
              <w:widowControl/>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4</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高质量商业计划书的价值与撰写</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通过提供一套商业计划书模板，帮助创业团队掌握有关商业计划书相关知识</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指导教师和学生团队</w:t>
            </w:r>
          </w:p>
        </w:tc>
        <w:tc>
          <w:tcPr>
            <w:tcW w:w="460" w:type="pct"/>
            <w:vMerge w:val="restar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3月28日</w:t>
            </w:r>
          </w:p>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5</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从大赛金奖案例谈谈参赛项目的构思与谋划</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构思和谋划是商业项目的第一步，结合案例探析提供给创业团队一套操作方法</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指导教师和学生团队</w:t>
            </w:r>
          </w:p>
        </w:tc>
        <w:tc>
          <w:tcPr>
            <w:tcW w:w="460" w:type="pct"/>
            <w:vMerge w:val="continue"/>
            <w:vAlign w:val="center"/>
          </w:tcPr>
          <w:p>
            <w:pPr>
              <w:widowControl/>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6</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高校科技成果转化项目实践方法论</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提供一套实践方法，助力高校科技成果更好转化</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指导教师（尤其是有科研项目的教师）、 学生团队</w:t>
            </w:r>
          </w:p>
        </w:tc>
        <w:tc>
          <w:tcPr>
            <w:tcW w:w="460" w:type="pct"/>
            <w:vMerge w:val="restar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4月4日</w:t>
            </w:r>
          </w:p>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7</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高校科转的关键：技术思维向产品思维的转变</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科转的关键在于思维的转变，重点详细探析两种思维模式的差异</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指导教师（尤其是有科研项目的教师）、 学生团队</w:t>
            </w:r>
          </w:p>
        </w:tc>
        <w:tc>
          <w:tcPr>
            <w:tcW w:w="460" w:type="pct"/>
            <w:vMerge w:val="continue"/>
            <w:vAlign w:val="center"/>
          </w:tcPr>
          <w:p>
            <w:pPr>
              <w:widowControl/>
              <w:adjustRightInd w:val="0"/>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8</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如何做高质量的项目路演和答辩</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有关路演和答辩的相关注意事项和建议</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指导教师和学生团队</w:t>
            </w:r>
          </w:p>
        </w:tc>
        <w:tc>
          <w:tcPr>
            <w:tcW w:w="460"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4月5日</w:t>
            </w:r>
          </w:p>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8"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9</w:t>
            </w:r>
          </w:p>
        </w:tc>
        <w:tc>
          <w:tcPr>
            <w:tcW w:w="13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如何做好最终阶段的冲刺备赛</w:t>
            </w:r>
          </w:p>
        </w:tc>
        <w:tc>
          <w:tcPr>
            <w:tcW w:w="185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对最终冲刺的备赛提供建议</w:t>
            </w:r>
          </w:p>
        </w:tc>
        <w:tc>
          <w:tcPr>
            <w:tcW w:w="1101"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指导教师和学生团队</w:t>
            </w:r>
          </w:p>
        </w:tc>
        <w:tc>
          <w:tcPr>
            <w:tcW w:w="460" w:type="pct"/>
            <w:vAlign w:val="center"/>
          </w:tcPr>
          <w:p>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待定</w:t>
            </w:r>
          </w:p>
        </w:tc>
      </w:tr>
    </w:tbl>
    <w:p>
      <w:pPr>
        <w:adjustRightInd w:val="0"/>
        <w:snapToGrid w:val="0"/>
        <w:spacing w:line="360" w:lineRule="auto"/>
        <w:jc w:val="left"/>
        <w:rPr>
          <w:rFonts w:ascii="仿宋" w:hAnsi="仿宋" w:eastAsia="仿宋"/>
          <w:sz w:val="28"/>
          <w:szCs w:val="28"/>
        </w:rPr>
        <w:sectPr>
          <w:pgSz w:w="16838" w:h="11906" w:orient="landscape"/>
          <w:pgMar w:top="1797" w:right="1440" w:bottom="1701" w:left="1440" w:header="851" w:footer="992" w:gutter="0"/>
          <w:cols w:space="425" w:num="1"/>
          <w:docGrid w:type="linesAndChars" w:linePitch="312" w:charSpace="0"/>
        </w:sectPr>
      </w:pPr>
    </w:p>
    <w:p>
      <w:pPr>
        <w:adjustRightInd w:val="0"/>
        <w:snapToGrid w:val="0"/>
        <w:spacing w:line="360" w:lineRule="auto"/>
        <w:jc w:val="left"/>
        <w:rPr>
          <w:rFonts w:ascii="仿宋" w:hAnsi="仿宋" w:eastAsia="仿宋"/>
          <w:sz w:val="28"/>
          <w:szCs w:val="28"/>
        </w:rPr>
      </w:pPr>
      <w:r>
        <w:rPr>
          <w:rFonts w:hint="eastAsia" w:ascii="仿宋" w:hAnsi="仿宋" w:eastAsia="仿宋"/>
          <w:sz w:val="28"/>
          <w:szCs w:val="28"/>
        </w:rPr>
        <w:t>附件2：</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主讲人情况介绍</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蒋楠，橙子互娱 高级副总裁／梧桐高创资本 创始合伙人／ 中国高校众创空间联盟专属基金 联合发起人；北京大学光华管理学院MBA／中国人民大学MBA导师；福州大学客座教授；人社部 “中国创翼大赛”／团中央“创青春”大学生创业大赛总决赛评委；教育部首批万名优秀创新创业导师。</w:t>
      </w: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624A"/>
    <w:multiLevelType w:val="multilevel"/>
    <w:tmpl w:val="42AE624A"/>
    <w:lvl w:ilvl="0" w:tentative="0">
      <w:start w:val="1"/>
      <w:numFmt w:val="japaneseCounting"/>
      <w:lvlText w:val="%1、"/>
      <w:lvlJc w:val="left"/>
      <w:pPr>
        <w:ind w:left="1284" w:hanging="720"/>
      </w:pPr>
      <w:rPr>
        <w:rFonts w:hint="default"/>
      </w:r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F0"/>
    <w:rsid w:val="000E10F9"/>
    <w:rsid w:val="001B083B"/>
    <w:rsid w:val="00460A3E"/>
    <w:rsid w:val="004F1921"/>
    <w:rsid w:val="0052792B"/>
    <w:rsid w:val="0073197F"/>
    <w:rsid w:val="00B56EE5"/>
    <w:rsid w:val="00C51EF6"/>
    <w:rsid w:val="00D45FF0"/>
    <w:rsid w:val="00FE125B"/>
    <w:rsid w:val="03CA6D6A"/>
    <w:rsid w:val="425D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233</Words>
  <Characters>1330</Characters>
  <Lines>11</Lines>
  <Paragraphs>3</Paragraphs>
  <TotalTime>100</TotalTime>
  <ScaleCrop>false</ScaleCrop>
  <LinksUpToDate>false</LinksUpToDate>
  <CharactersWithSpaces>1560</CharactersWithSpaces>
  <Application>WPS Office_11.1.0.9513_F1E327BC-269C-435d-A152-05C5408002CA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2020-03-20T02:15:00Z</dcterms:created>
  <dc:creator>lenovo</dc:creator>
  <lastModifiedBy>Administrator</lastModifiedBy>
  <dcterms:modified xsi:type="dcterms:W3CDTF">2020-03-20T05:20:25Z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