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b/>
          <w:bCs/>
          <w:sz w:val="24"/>
        </w:rPr>
      </w:pPr>
      <w:r>
        <w:rPr>
          <w:rFonts w:hint="eastAsia" w:ascii="微软雅黑" w:hAnsi="微软雅黑" w:cs="微软雅黑"/>
          <w:b/>
          <w:bCs/>
          <w:sz w:val="24"/>
          <w:szCs w:val="24"/>
        </w:rPr>
        <w:t>青岛大学</w:t>
      </w: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2020年</w:t>
      </w:r>
      <w:r>
        <w:rPr>
          <w:rFonts w:hint="eastAsia" w:ascii="微软雅黑" w:hAnsi="微软雅黑" w:cs="微软雅黑"/>
          <w:b/>
          <w:bCs/>
          <w:sz w:val="24"/>
          <w:szCs w:val="24"/>
        </w:rPr>
        <w:t>第三批“以学为中心”专创融合课程立项一览表</w:t>
      </w:r>
      <w:bookmarkStart w:id="0" w:name="_GoBack"/>
      <w:bookmarkEnd w:id="0"/>
    </w:p>
    <w:tbl>
      <w:tblPr>
        <w:tblStyle w:val="6"/>
        <w:tblW w:w="10271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0"/>
        <w:gridCol w:w="2077"/>
        <w:gridCol w:w="1029"/>
        <w:gridCol w:w="771"/>
        <w:gridCol w:w="1886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项目编号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课程名称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主持人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职称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项目成员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JXGG2020008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经济学院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私募股权投资基金与创业投资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常璟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副教授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吕学梁、胡大龙、高玉强、任龙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JXGG2020013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政治与公共管理学院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《国际组织概论》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丛霞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李广民、余丽萍、林静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JXGG2020014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师范学院(教师教育学院)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“专创融合”下的《虚拟现实技术与教育》课程建设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邵磊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牛丽凤、田雪葳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JXGG2020028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新闻与传播学院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文创产业与文创设计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刘洋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蒲进、徐照东、刘艳秋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JXGG2020041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生命科学学院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《食品质量与安全控制》课程的“专创融合”建设方案研究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孙海新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李子超、齐宏涛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JXGG2020052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自动化学院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物联网技术及应用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丁军航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副教授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蔡明洁、吴贺荣、叶志明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JXGG2020068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数据科学与软件工程学院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创新性综合程序设计开发课程建设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杨熙鑫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张卫华、何春华、胡曼冬、苗盛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JXGG2020071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环境科学与工程学院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固体废物处理与资源化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杨瑞霞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袁华、纪书华、崔育倩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JXGG2020096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美术学院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《创意面料》“专创融合”课程建设研究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郑骞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侍锦、彭卫丽、李然、王建彬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JXGG2020106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医学部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营养与食品卫生学专创融合课程建设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梁惠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钟凤、高田林、蔡静、张华琦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JXGG2020107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医学部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《评判性思维与护理创新》专创融合课程建设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刘婷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魏丽丽、朱秀丽、刘曼、王敏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JXGG2020111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教务处</w:t>
            </w:r>
          </w:p>
        </w:tc>
        <w:tc>
          <w:tcPr>
            <w:tcW w:w="2077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《个体优势发现与培养》课程建设中“专创融合”的探索与实践</w:t>
            </w:r>
          </w:p>
        </w:tc>
        <w:tc>
          <w:tcPr>
            <w:tcW w:w="1029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席岩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讲师</w:t>
            </w:r>
          </w:p>
        </w:tc>
        <w:tc>
          <w:tcPr>
            <w:tcW w:w="1886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秦硕谦、王进福、佟翔天、张浩然</w:t>
            </w:r>
          </w:p>
        </w:tc>
        <w:tc>
          <w:tcPr>
            <w:tcW w:w="1928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专创融合</w:t>
            </w:r>
          </w:p>
        </w:tc>
      </w:tr>
    </w:tbl>
    <w:p>
      <w:pPr>
        <w:spacing w:line="220" w:lineRule="atLeast"/>
        <w:ind w:firstLine="72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00A"/>
    <w:rsid w:val="001172AC"/>
    <w:rsid w:val="002667A7"/>
    <w:rsid w:val="00323B43"/>
    <w:rsid w:val="003D37D8"/>
    <w:rsid w:val="00426133"/>
    <w:rsid w:val="004358AB"/>
    <w:rsid w:val="005F39E9"/>
    <w:rsid w:val="00656FC5"/>
    <w:rsid w:val="00890B95"/>
    <w:rsid w:val="008B7726"/>
    <w:rsid w:val="008E1992"/>
    <w:rsid w:val="00C61A08"/>
    <w:rsid w:val="00D31D50"/>
    <w:rsid w:val="00DC3F10"/>
    <w:rsid w:val="00F3417F"/>
    <w:rsid w:val="7C6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729</Characters>
  <Lines>6</Lines>
  <Paragraphs>1</Paragraphs>
  <TotalTime>75</TotalTime>
  <ScaleCrop>false</ScaleCrop>
  <LinksUpToDate>false</LinksUpToDate>
  <CharactersWithSpaces>855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liujianhua</dc:creator>
  <lastModifiedBy>青花瓷</lastModifiedBy>
  <dcterms:modified xsi:type="dcterms:W3CDTF">2021-01-05T06:48:51Z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