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exact" w:line="640"/>
        <w:rPr>
          <w:color w:val="000000"/>
          <w:sz w:val="44"/>
          <w:szCs w:val="44"/>
          <w:rFonts w:ascii="方正小标宋简体" w:eastAsia="方正小标宋简体"/>
        </w:rPr>
      </w:pPr>
      <w:r>
        <w:rPr>
          <w:color w:val="000000"/>
          <w:sz w:val="44"/>
          <w:szCs w:val="44"/>
          <w:rFonts w:ascii="方正小标宋简体" w:eastAsia="方正小标宋简体" w:hint="eastAsia"/>
        </w:rPr>
        <w:t>山东省</w:t>
      </w:r>
      <w:r>
        <w:rPr>
          <w:rStyle w:val="PO20"/>
          <w:b w:val="0"/>
          <w:sz w:val="44"/>
          <w:szCs w:val="44"/>
          <w:rFonts w:ascii="方正小标宋简体" w:eastAsia="方正小标宋简体" w:hAnsi="微软雅黑" w:hint="eastAsia"/>
        </w:rPr>
        <w:t>教育服务新旧动能转换专业对接产</w:t>
      </w:r>
      <w:r>
        <w:rPr>
          <w:rStyle w:val="PO20"/>
          <w:b w:val="0"/>
          <w:sz w:val="44"/>
          <w:szCs w:val="44"/>
          <w:rFonts w:ascii="方正小标宋简体" w:eastAsia="方正小标宋简体" w:hAnsi="微软雅黑" w:hint="eastAsia"/>
        </w:rPr>
        <w:t>业项目</w:t>
      </w:r>
      <w:r>
        <w:rPr>
          <w:sz w:val="44"/>
          <w:szCs w:val="44"/>
          <w:rFonts w:ascii="方正小标宋简体" w:eastAsia="方正小标宋简体" w:hint="eastAsia"/>
        </w:rPr>
        <w:t>绩</w:t>
      </w:r>
      <w:r>
        <w:rPr>
          <w:color w:val="000000"/>
          <w:sz w:val="44"/>
          <w:szCs w:val="44"/>
          <w:rFonts w:ascii="方正小标宋简体" w:eastAsia="方正小标宋简体" w:hint="eastAsia"/>
        </w:rPr>
        <w:t>效考评办法</w:t>
      </w:r>
      <w:r>
        <w:rPr>
          <w:color w:val="000000"/>
          <w:sz w:val="44"/>
          <w:szCs w:val="44"/>
          <w:rFonts w:ascii="方正小标宋简体" w:eastAsia="方正小标宋简体" w:hint="eastAsia"/>
          <w:lang w:eastAsia="zh-CN"/>
        </w:rPr>
        <w:t>（</w:t>
      </w:r>
      <w:r>
        <w:rPr>
          <w:color w:val="000000"/>
          <w:sz w:val="44"/>
          <w:szCs w:val="44"/>
          <w:rFonts w:ascii="方正小标宋简体" w:eastAsia="方正小标宋简体" w:hint="eastAsia"/>
          <w:lang w:eastAsia="zh-CN" w:val="en-US"/>
        </w:rPr>
        <w:t>暂行</w:t>
      </w:r>
      <w:r>
        <w:rPr>
          <w:color w:val="000000"/>
          <w:sz w:val="44"/>
          <w:szCs w:val="44"/>
          <w:rFonts w:ascii="方正小标宋简体" w:eastAsia="方正小标宋简体" w:hint="eastAsia"/>
          <w:lang w:eastAsia="zh-CN"/>
        </w:rPr>
        <w:t>）</w:t>
      </w:r>
    </w:p>
    <w:p>
      <w:pPr>
        <w:jc w:val="center"/>
        <w:spacing w:lineRule="exact" w:line="580" w:before="360" w:after="360"/>
        <w:rPr>
          <w:sz w:val="32"/>
          <w:szCs w:val="32"/>
          <w:rFonts w:ascii="黑体" w:eastAsia="黑体"/>
        </w:rPr>
      </w:pPr>
      <w:r>
        <w:rPr>
          <w:sz w:val="32"/>
          <w:szCs w:val="32"/>
          <w:rFonts w:ascii="黑体" w:eastAsia="黑体" w:hint="eastAsia"/>
        </w:rPr>
        <w:t xml:space="preserve">第一章  总  则</w:t>
      </w:r>
    </w:p>
    <w:p>
      <w:pPr>
        <w:spacing w:lineRule="exact" w:line="580"/>
        <w:ind w:firstLine="200"/>
        <w:rPr>
          <w:color w:val="000000"/>
          <w:sz w:val="32"/>
          <w:szCs w:val="32"/>
          <w:rFonts w:ascii="仿宋_GB2312" w:eastAsia="仿宋_GB2312" w:hAnsi="宋体" w:cs="宋体"/>
        </w:rPr>
      </w:pPr>
      <w:r>
        <w:rPr>
          <w:color w:val="000000"/>
          <w:sz w:val="32"/>
          <w:szCs w:val="32"/>
          <w:rFonts w:ascii="楷体_GB2312" w:eastAsia="楷体_GB2312" w:hAnsi="宋体" w:cs="宋体" w:hint="eastAsia"/>
        </w:rPr>
        <w:t>第一条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 xml:space="preserve">  为确保教育服务新旧动能转换专业对接产业项目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实施质量，加强项目过程管理与绩效考核，提高项目资金使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用效益，根据《</w:t>
      </w:r>
      <w:r>
        <w:rPr>
          <w:sz w:val="32"/>
          <w:szCs w:val="32"/>
          <w:rFonts w:ascii="仿宋_GB2312" w:eastAsia="仿宋_GB2312" w:hAnsi="仿宋_GB2312" w:cs="仿宋_GB2312" w:hint="eastAsia"/>
        </w:rPr>
        <w:t xml:space="preserve">山东省财政厅 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山东省</w:t>
      </w:r>
      <w:r>
        <w:rPr>
          <w:sz w:val="32"/>
          <w:szCs w:val="32"/>
          <w:rFonts w:ascii="仿宋_GB2312" w:eastAsia="仿宋_GB2312" w:hAnsi="仿宋_GB2312" w:cs="仿宋_GB2312" w:hint="eastAsia"/>
        </w:rPr>
        <w:t xml:space="preserve">教育厅 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山东省科学技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术厅关于印发教育服务新旧动能转换专业对接产业项目实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施意见的通知》（鲁财教〔2018〕35号）、《</w:t>
      </w:r>
      <w:r>
        <w:rPr>
          <w:sz w:val="32"/>
          <w:szCs w:val="32"/>
          <w:rFonts w:ascii="仿宋_GB2312" w:eastAsia="仿宋_GB2312" w:hAnsi="仿宋_GB2312" w:cs="仿宋_GB2312" w:hint="eastAsia"/>
        </w:rPr>
        <w:t xml:space="preserve">山东省财政厅 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山东省</w:t>
      </w:r>
      <w:r>
        <w:rPr>
          <w:sz w:val="32"/>
          <w:szCs w:val="32"/>
          <w:rFonts w:ascii="仿宋_GB2312" w:eastAsia="仿宋_GB2312" w:hAnsi="仿宋_GB2312" w:cs="仿宋_GB2312" w:hint="eastAsia"/>
        </w:rPr>
        <w:t xml:space="preserve">教育厅 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山东省科学技术厅关于印发教育服务新旧动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能转换专业对接产业项目资金管理办法的通知》（鲁财教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〔</w:t>
      </w:r>
      <w:r>
        <w:rPr>
          <w:color w:val="000000"/>
          <w:sz w:val="32"/>
          <w:szCs w:val="32"/>
          <w:rFonts w:ascii="仿宋_GB2312" w:eastAsia="仿宋_GB2312" w:hAnsi="宋体" w:cs="宋体"/>
        </w:rPr>
        <w:t>201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8〕4</w:t>
      </w:r>
      <w:r>
        <w:rPr>
          <w:color w:val="000000"/>
          <w:sz w:val="32"/>
          <w:szCs w:val="32"/>
          <w:rFonts w:ascii="仿宋_GB2312" w:eastAsia="仿宋_GB2312" w:hAnsi="宋体" w:cs="宋体"/>
        </w:rPr>
        <w:t>4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号，以下称《资金管理办法》）等有关规定，制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定本办法。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color w:val="000000"/>
          <w:sz w:val="32"/>
          <w:szCs w:val="32"/>
          <w:rFonts w:ascii="楷体_GB2312" w:eastAsia="楷体_GB2312" w:hAnsi="宋体" w:cs="宋体" w:hint="eastAsia"/>
        </w:rPr>
        <w:t>第二条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 xml:space="preserve">  山东省教育服务新旧动能转换专业对接产业项</w:t>
      </w:r>
      <w:r>
        <w:rPr>
          <w:sz w:val="32"/>
          <w:szCs w:val="32"/>
          <w:rFonts w:ascii="仿宋_GB2312" w:eastAsia="仿宋_GB2312" w:hint="eastAsia"/>
        </w:rPr>
        <w:t>目</w:t>
      </w:r>
      <w:r>
        <w:rPr>
          <w:sz w:val="32"/>
          <w:szCs w:val="32"/>
          <w:rFonts w:ascii="仿宋_GB2312" w:eastAsia="仿宋_GB2312" w:hint="eastAsia"/>
        </w:rPr>
        <w:t>建设目标分为基本建设目标和协议目标，绩效考评（以下称</w:t>
      </w:r>
      <w:r>
        <w:rPr>
          <w:sz w:val="32"/>
          <w:szCs w:val="32"/>
          <w:rFonts w:ascii="仿宋_GB2312" w:eastAsia="仿宋_GB2312" w:hint="eastAsia"/>
        </w:rPr>
        <w:t>“考评”）是指运用相应的量化指标和评价标准，对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项目</w:t>
      </w:r>
      <w:r>
        <w:rPr>
          <w:sz w:val="32"/>
          <w:szCs w:val="32"/>
          <w:rFonts w:ascii="仿宋_GB2312" w:eastAsia="仿宋_GB2312" w:hint="eastAsia"/>
        </w:rPr>
        <w:t>建</w:t>
      </w:r>
      <w:r>
        <w:rPr>
          <w:sz w:val="32"/>
          <w:szCs w:val="32"/>
          <w:rFonts w:ascii="仿宋_GB2312" w:eastAsia="仿宋_GB2312" w:hint="eastAsia"/>
        </w:rPr>
        <w:t>设目标、管理运行、项目预算执行等实施情况及取得的成效</w:t>
      </w:r>
      <w:r>
        <w:rPr>
          <w:sz w:val="32"/>
          <w:szCs w:val="32"/>
          <w:rFonts w:ascii="仿宋_GB2312" w:eastAsia="仿宋_GB2312" w:hint="eastAsia"/>
        </w:rPr>
        <w:t>进行综合考核与评价。</w:t>
      </w:r>
    </w:p>
    <w:p>
      <w:pPr>
        <w:spacing w:lineRule="exact" w:line="580"/>
        <w:ind w:firstLine="196"/>
        <w:rPr>
          <w:color w:val="FF0000"/>
          <w:sz w:val="32"/>
          <w:szCs w:val="32"/>
          <w:rFonts w:ascii="仿宋_GB2312" w:eastAsia="仿宋_GB2312"/>
        </w:rPr>
      </w:pPr>
      <w:r>
        <w:rPr>
          <w:color w:val="000000"/>
          <w:sz w:val="32"/>
          <w:szCs w:val="32"/>
          <w:rFonts w:ascii="楷体_GB2312" w:eastAsia="楷体_GB2312" w:hAnsi="宋体" w:cs="宋体" w:hint="eastAsia"/>
        </w:rPr>
        <w:t>第三条</w:t>
      </w:r>
      <w:r>
        <w:rPr>
          <w:sz w:val="32"/>
          <w:szCs w:val="32"/>
          <w:rFonts w:ascii="仿宋_GB2312" w:eastAsia="仿宋_GB2312" w:hint="eastAsia"/>
        </w:rPr>
        <w:t xml:space="preserve">  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项目</w:t>
      </w:r>
      <w:r>
        <w:rPr>
          <w:sz w:val="32"/>
          <w:szCs w:val="32"/>
          <w:rFonts w:ascii="仿宋_GB2312" w:eastAsia="仿宋_GB2312" w:hint="eastAsia"/>
        </w:rPr>
        <w:t>管理实行年度</w:t>
      </w:r>
      <w:r>
        <w:rPr>
          <w:sz w:val="32"/>
          <w:szCs w:val="32"/>
          <w:rFonts w:ascii="仿宋_GB2312" w:eastAsia="仿宋_GB2312"/>
        </w:rPr>
        <w:t>报告</w:t>
      </w:r>
      <w:r>
        <w:rPr>
          <w:sz w:val="32"/>
          <w:szCs w:val="32"/>
          <w:rFonts w:ascii="仿宋_GB2312" w:eastAsia="仿宋_GB2312" w:hint="eastAsia"/>
        </w:rPr>
        <w:t>、3年中期评估和5年期满</w:t>
      </w:r>
      <w:r>
        <w:rPr>
          <w:sz w:val="32"/>
          <w:szCs w:val="32"/>
          <w:rFonts w:ascii="仿宋_GB2312" w:eastAsia="仿宋_GB2312" w:hint="eastAsia"/>
        </w:rPr>
        <w:t>考核验收制度，强化过程管理与目标管理。</w:t>
      </w:r>
    </w:p>
    <w:p>
      <w:pPr>
        <w:spacing w:lineRule="exact" w:line="580"/>
        <w:ind w:firstLine="196"/>
        <w:rPr>
          <w:color w:val="FF0000"/>
          <w:sz w:val="32"/>
          <w:szCs w:val="32"/>
          <w:rFonts w:ascii="仿宋_GB2312" w:eastAsia="仿宋_GB2312"/>
        </w:rPr>
      </w:pPr>
      <w:r>
        <w:rPr>
          <w:color w:val="000000"/>
          <w:sz w:val="32"/>
          <w:szCs w:val="32"/>
          <w:rFonts w:ascii="楷体_GB2312" w:eastAsia="楷体_GB2312" w:hAnsi="宋体" w:cs="宋体" w:hint="eastAsia"/>
        </w:rPr>
        <w:t>第四条</w:t>
      </w:r>
      <w:r>
        <w:rPr>
          <w:b w:val="1"/>
          <w:sz w:val="32"/>
          <w:szCs w:val="32"/>
          <w:rFonts w:ascii="仿宋_GB2312" w:eastAsia="仿宋_GB2312" w:hint="eastAsia"/>
        </w:rPr>
        <w:t xml:space="preserve">  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项目</w:t>
      </w:r>
      <w:r>
        <w:rPr>
          <w:sz w:val="32"/>
          <w:szCs w:val="32"/>
          <w:rFonts w:ascii="仿宋_GB2312" w:eastAsia="仿宋_GB2312" w:hint="eastAsia"/>
        </w:rPr>
        <w:t>自批准立项起，应于</w:t>
      </w:r>
      <w:r>
        <w:rPr>
          <w:sz w:val="32"/>
          <w:szCs w:val="32"/>
          <w:rFonts w:ascii="仿宋_GB2312" w:eastAsia="仿宋_GB2312"/>
        </w:rPr>
        <w:t>5</w:t>
      </w:r>
      <w:r>
        <w:rPr>
          <w:sz w:val="32"/>
          <w:szCs w:val="32"/>
          <w:rFonts w:ascii="仿宋_GB2312" w:eastAsia="仿宋_GB2312" w:hint="eastAsia"/>
        </w:rPr>
        <w:t>年内完成建设任务。实</w:t>
      </w:r>
      <w:r>
        <w:rPr>
          <w:sz w:val="32"/>
          <w:szCs w:val="32"/>
          <w:rFonts w:ascii="仿宋_GB2312" w:eastAsia="仿宋_GB2312" w:hint="eastAsia"/>
        </w:rPr>
        <w:t>施考评主要以立项专业申报书、目标任务书、成效汇总表、绩</w:t>
      </w:r>
      <w:r>
        <w:rPr>
          <w:sz w:val="32"/>
          <w:szCs w:val="32"/>
          <w:rFonts w:ascii="仿宋_GB2312" w:eastAsia="仿宋_GB2312" w:hint="eastAsia"/>
        </w:rPr>
        <w:t>效自评报告</w:t>
      </w:r>
      <w:r>
        <w:rPr>
          <w:sz w:val="32"/>
          <w:szCs w:val="32"/>
          <w:rFonts w:ascii="仿宋_GB2312" w:eastAsia="仿宋_GB2312" w:hint="eastAsia"/>
          <w:lang w:eastAsia="zh-CN"/>
        </w:rPr>
        <w:t>、</w:t>
      </w:r>
      <w:r>
        <w:rPr>
          <w:sz w:val="32"/>
          <w:szCs w:val="32"/>
          <w:rFonts w:ascii="仿宋_GB2312" w:eastAsia="仿宋_GB2312" w:hint="eastAsia"/>
          <w:lang w:eastAsia="zh-CN" w:val="en-US"/>
        </w:rPr>
        <w:t>现场考察</w:t>
      </w:r>
      <w:r>
        <w:rPr>
          <w:sz w:val="32"/>
          <w:szCs w:val="32"/>
          <w:rFonts w:ascii="仿宋_GB2312" w:eastAsia="仿宋_GB2312" w:hint="eastAsia"/>
        </w:rPr>
        <w:t>和</w:t>
      </w:r>
      <w:r>
        <w:rPr>
          <w:color w:val="000000"/>
          <w:sz w:val="32"/>
          <w:szCs w:val="32"/>
          <w:rFonts w:ascii="仿宋_GB2312" w:eastAsia="仿宋_GB2312" w:hint="eastAsia"/>
        </w:rPr>
        <w:t>《建设方案》、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《资金管理办法》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等为依据。</w:t>
      </w:r>
    </w:p>
    <w:p>
      <w:pPr>
        <w:jc w:val="center"/>
        <w:spacing w:lineRule="exact" w:line="580" w:before="360" w:after="360"/>
        <w:rPr>
          <w:sz w:val="32"/>
          <w:szCs w:val="32"/>
          <w:rFonts w:ascii="黑体" w:eastAsia="黑体" w:hAnsi="黑体"/>
        </w:rPr>
      </w:pPr>
      <w:r>
        <w:rPr>
          <w:sz w:val="32"/>
          <w:szCs w:val="32"/>
          <w:rFonts w:ascii="黑体" w:eastAsia="黑体" w:hAnsi="黑体" w:hint="eastAsia"/>
        </w:rPr>
        <w:t xml:space="preserve">第二章  组织实施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>第五条</w:t>
      </w:r>
      <w:r>
        <w:rPr>
          <w:sz w:val="32"/>
          <w:szCs w:val="32"/>
          <w:rFonts w:ascii="仿宋_GB2312" w:eastAsia="仿宋_GB2312" w:hint="eastAsia"/>
        </w:rPr>
        <w:t xml:space="preserve">  省教育厅、省财政厅、省科技厅负责制定考评办法</w:t>
      </w:r>
      <w:r>
        <w:rPr>
          <w:sz w:val="32"/>
          <w:szCs w:val="32"/>
          <w:rFonts w:ascii="仿宋_GB2312" w:eastAsia="仿宋_GB2312" w:hint="eastAsia"/>
        </w:rPr>
        <w:t>和考评指标。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>第六条</w:t>
      </w:r>
      <w:r>
        <w:rPr>
          <w:sz w:val="32"/>
          <w:szCs w:val="32"/>
          <w:rFonts w:ascii="仿宋_GB2312" w:eastAsia="仿宋_GB2312" w:hint="eastAsia"/>
        </w:rPr>
        <w:t xml:space="preserve"> “年度报告”由项目依托高校自评形成，并于每年</w:t>
      </w:r>
      <w:r>
        <w:rPr>
          <w:sz w:val="32"/>
          <w:szCs w:val="32"/>
          <w:rFonts w:ascii="仿宋_GB2312" w:eastAsia="仿宋_GB2312"/>
        </w:rPr>
        <w:t>1</w:t>
      </w:r>
      <w:r>
        <w:rPr>
          <w:sz w:val="32"/>
          <w:szCs w:val="32"/>
          <w:rFonts w:ascii="仿宋_GB2312" w:eastAsia="仿宋_GB2312" w:hint="eastAsia"/>
        </w:rPr>
        <w:t>2月15日前报送省教育厅。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>第七条</w:t>
      </w:r>
      <w:r>
        <w:rPr>
          <w:sz w:val="32"/>
          <w:szCs w:val="32"/>
          <w:rFonts w:ascii="仿宋_GB2312" w:eastAsia="仿宋_GB2312" w:hint="eastAsia"/>
        </w:rPr>
        <w:t xml:space="preserve">  “中期评估”、“期满考核”由省教育厅、省财政</w:t>
      </w:r>
      <w:r>
        <w:rPr>
          <w:sz w:val="32"/>
          <w:szCs w:val="32"/>
          <w:rFonts w:ascii="仿宋_GB2312" w:eastAsia="仿宋_GB2312" w:hint="eastAsia"/>
        </w:rPr>
        <w:t>厅、省科技厅负责组织实施考评。考评工作分“项目自评”</w:t>
      </w:r>
      <w:r>
        <w:rPr>
          <w:sz w:val="32"/>
          <w:szCs w:val="32"/>
          <w:rFonts w:ascii="仿宋_GB2312" w:eastAsia="仿宋_GB2312" w:hint="eastAsia"/>
        </w:rPr>
        <w:t>和“统一考评”两个阶段进行；“项目自评”由项目依托高</w:t>
      </w:r>
      <w:r>
        <w:rPr>
          <w:sz w:val="32"/>
          <w:szCs w:val="32"/>
          <w:rFonts w:ascii="仿宋_GB2312" w:eastAsia="仿宋_GB2312" w:hint="eastAsia"/>
        </w:rPr>
        <w:t>校负责，“统一考评”由省教育厅、省财政厅、省科技厅组</w:t>
      </w:r>
      <w:r>
        <w:rPr>
          <w:sz w:val="32"/>
          <w:szCs w:val="32"/>
          <w:rFonts w:ascii="仿宋_GB2312" w:eastAsia="仿宋_GB2312" w:hint="eastAsia"/>
        </w:rPr>
        <w:t>织专家考评组或委托第三方进行。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color w:val="000000"/>
          <w:sz w:val="32"/>
          <w:szCs w:val="32"/>
          <w:rFonts w:ascii="楷体_GB2312" w:eastAsia="楷体_GB2312" w:hAnsi="宋体" w:cs="宋体" w:hint="eastAsia"/>
        </w:rPr>
        <w:t>第八条</w:t>
      </w:r>
      <w:r>
        <w:rPr>
          <w:sz w:val="32"/>
          <w:szCs w:val="32"/>
          <w:rFonts w:ascii="仿宋_GB2312" w:eastAsia="仿宋_GB2312" w:hint="eastAsia"/>
        </w:rPr>
        <w:t xml:space="preserve"> 考评组由学术、管理、技术、财务等方面专家组成。</w:t>
      </w:r>
      <w:r>
        <w:rPr>
          <w:sz w:val="32"/>
          <w:szCs w:val="32"/>
          <w:rFonts w:ascii="仿宋_GB2312" w:eastAsia="仿宋_GB2312" w:hint="eastAsia"/>
        </w:rPr>
        <w:t>考评实行回避制度，考评专家不参加本单位立项项目的考评。</w:t>
      </w:r>
    </w:p>
    <w:p>
      <w:pPr>
        <w:jc w:val="center"/>
        <w:spacing w:lineRule="exact" w:line="580" w:before="360" w:after="360"/>
        <w:rPr>
          <w:sz w:val="32"/>
          <w:szCs w:val="32"/>
          <w:rFonts w:ascii="黑体" w:eastAsia="黑体" w:hAnsi="黑体"/>
        </w:rPr>
      </w:pPr>
      <w:r>
        <w:rPr>
          <w:sz w:val="32"/>
          <w:szCs w:val="32"/>
          <w:rFonts w:ascii="黑体" w:eastAsia="黑体" w:hAnsi="黑体" w:hint="eastAsia"/>
        </w:rPr>
        <w:t xml:space="preserve">第三章  考评办法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 xml:space="preserve">第九条 </w:t>
      </w:r>
      <w:r>
        <w:rPr>
          <w:sz w:val="32"/>
          <w:szCs w:val="32"/>
          <w:rFonts w:ascii="仿宋_GB2312" w:eastAsia="仿宋_GB2312" w:hint="eastAsia"/>
        </w:rPr>
        <w:t xml:space="preserve"> 考评工作程序和内容：</w:t>
      </w:r>
    </w:p>
    <w:p>
      <w:pPr>
        <w:spacing w:lineRule="exact" w:line="580"/>
        <w:ind w:firstLine="200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 w:hint="eastAsia"/>
        </w:rPr>
        <w:t>（一）汇报答疑。被考评单位向考评组汇报项目建设及管理</w:t>
      </w:r>
      <w:r>
        <w:rPr>
          <w:sz w:val="32"/>
          <w:szCs w:val="32"/>
          <w:rFonts w:ascii="仿宋_GB2312" w:eastAsia="仿宋_GB2312" w:hint="eastAsia"/>
        </w:rPr>
        <w:t>情况、资金投入及使用情况、目标完成及综合效益情况等。</w:t>
      </w:r>
      <w:r>
        <w:rPr>
          <w:sz w:val="32"/>
          <w:szCs w:val="32"/>
          <w:rFonts w:ascii="仿宋_GB2312" w:eastAsia="仿宋_GB2312" w:hint="eastAsia"/>
        </w:rPr>
        <w:t>考评组在听取汇报的基础上，提出问题，由被考评单位进行</w:t>
      </w:r>
      <w:r>
        <w:rPr>
          <w:sz w:val="32"/>
          <w:szCs w:val="32"/>
          <w:rFonts w:ascii="仿宋_GB2312" w:eastAsia="仿宋_GB2312" w:hint="eastAsia"/>
        </w:rPr>
        <w:t>解答。</w:t>
      </w:r>
    </w:p>
    <w:p>
      <w:pPr>
        <w:spacing w:lineRule="exact" w:line="580"/>
        <w:ind w:firstLine="200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 w:hint="eastAsia"/>
        </w:rPr>
        <w:t>（二）现场核查。考评组实地考察项目建设、运行、管理情</w:t>
      </w:r>
      <w:r>
        <w:rPr>
          <w:sz w:val="32"/>
          <w:szCs w:val="32"/>
          <w:rFonts w:ascii="仿宋_GB2312" w:eastAsia="仿宋_GB2312" w:hint="eastAsia"/>
        </w:rPr>
        <w:t>况，查阅相关资料等。</w:t>
      </w:r>
    </w:p>
    <w:p>
      <w:pPr>
        <w:spacing w:lineRule="exact" w:line="580"/>
        <w:ind w:firstLine="200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 w:hint="eastAsia"/>
        </w:rPr>
        <w:t>（三）初步反馈。考评组将初步考评意见、存在的问题及工</w:t>
      </w:r>
      <w:r>
        <w:rPr>
          <w:sz w:val="32"/>
          <w:szCs w:val="32"/>
          <w:rFonts w:ascii="仿宋_GB2312" w:eastAsia="仿宋_GB2312" w:hint="eastAsia"/>
        </w:rPr>
        <w:t>作改进建议向被考评单位进行反馈。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>第十条</w:t>
      </w:r>
      <w:r>
        <w:rPr>
          <w:sz w:val="32"/>
          <w:szCs w:val="32"/>
          <w:rFonts w:ascii="仿宋_GB2312" w:eastAsia="仿宋_GB2312" w:hint="eastAsia"/>
        </w:rPr>
        <w:t xml:space="preserve"> “项目自评”依托单位参照考评程序和内容进行，</w:t>
      </w:r>
      <w:r>
        <w:rPr>
          <w:sz w:val="32"/>
          <w:szCs w:val="32"/>
          <w:rFonts w:ascii="仿宋_GB2312" w:eastAsia="仿宋_GB2312" w:hint="eastAsia"/>
        </w:rPr>
        <w:t>在完成自评的基础上，依托高校将《山东省教育服务新旧动</w:t>
      </w:r>
      <w:r>
        <w:rPr>
          <w:sz w:val="32"/>
          <w:szCs w:val="32"/>
          <w:rFonts w:ascii="仿宋_GB2312" w:eastAsia="仿宋_GB2312" w:hint="eastAsia"/>
        </w:rPr>
        <w:t>能转换专业对接产业项目绩效考评指标及计分表》(附件1)、</w:t>
      </w:r>
      <w:r>
        <w:rPr>
          <w:sz w:val="32"/>
          <w:szCs w:val="32"/>
          <w:rFonts w:ascii="仿宋_GB2312" w:eastAsia="仿宋_GB2312" w:hint="eastAsia"/>
        </w:rPr>
        <w:t>《山东省教育服务新旧动能转换专业对接产业项目实施成</w:t>
      </w:r>
      <w:r>
        <w:rPr>
          <w:sz w:val="32"/>
          <w:szCs w:val="32"/>
          <w:rFonts w:ascii="仿宋_GB2312" w:eastAsia="仿宋_GB2312" w:hint="eastAsia"/>
        </w:rPr>
        <w:t>效汇总表》（附件2）、《山东省教育服务新旧动能转换专业</w:t>
      </w:r>
      <w:r>
        <w:rPr>
          <w:sz w:val="32"/>
          <w:szCs w:val="32"/>
          <w:rFonts w:ascii="仿宋_GB2312" w:eastAsia="仿宋_GB2312" w:hint="eastAsia"/>
        </w:rPr>
        <w:t>对接产业项目自评报告》（附件3）及相关证明材料，报送省</w:t>
      </w:r>
      <w:r>
        <w:rPr>
          <w:sz w:val="32"/>
          <w:szCs w:val="32"/>
          <w:rFonts w:ascii="仿宋_GB2312" w:eastAsia="仿宋_GB2312" w:hint="eastAsia"/>
        </w:rPr>
        <w:t>教育厅、省财政厅、省科技厅。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>第十一条</w:t>
      </w:r>
      <w:r>
        <w:rPr>
          <w:sz w:val="32"/>
          <w:szCs w:val="32"/>
          <w:rFonts w:ascii="仿宋_GB2312" w:eastAsia="仿宋_GB2312" w:hint="eastAsia"/>
        </w:rPr>
        <w:t xml:space="preserve"> “统一考评”专家组在完成考评程序和内容后，</w:t>
      </w:r>
      <w:r>
        <w:rPr>
          <w:sz w:val="32"/>
          <w:szCs w:val="32"/>
          <w:rFonts w:ascii="仿宋_GB2312" w:eastAsia="仿宋_GB2312" w:hint="eastAsia"/>
        </w:rPr>
        <w:t>依据考评指标，通过记名方式对每个立项项目进行打分。</w:t>
      </w:r>
    </w:p>
    <w:p>
      <w:pPr>
        <w:spacing w:lineRule="exact" w:line="580"/>
        <w:ind w:firstLine="196"/>
        <w:rPr>
          <w:b w:val="1"/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>第十二条</w:t>
      </w:r>
      <w:r>
        <w:rPr>
          <w:b w:val="1"/>
          <w:sz w:val="32"/>
          <w:szCs w:val="32"/>
          <w:rFonts w:ascii="仿宋_GB2312" w:eastAsia="仿宋_GB2312" w:hint="eastAsia"/>
        </w:rPr>
        <w:t xml:space="preserve">  </w:t>
      </w:r>
      <w:r>
        <w:rPr>
          <w:sz w:val="32"/>
          <w:szCs w:val="32"/>
          <w:rFonts w:ascii="仿宋_GB2312" w:eastAsia="仿宋_GB2312" w:hint="eastAsia"/>
        </w:rPr>
        <w:t>考评记分（不含</w:t>
      </w:r>
      <w:r>
        <w:rPr>
          <w:sz w:val="32"/>
          <w:szCs w:val="32"/>
          <w:rFonts w:ascii="仿宋_GB2312" w:eastAsia="仿宋_GB2312"/>
        </w:rPr>
        <w:t>加分项</w:t>
      </w:r>
      <w:r>
        <w:rPr>
          <w:sz w:val="32"/>
          <w:szCs w:val="32"/>
          <w:rFonts w:ascii="仿宋_GB2312" w:eastAsia="仿宋_GB2312" w:hint="eastAsia"/>
        </w:rPr>
        <w:t>）分优秀、良好、及格和</w:t>
      </w:r>
      <w:r>
        <w:rPr>
          <w:sz w:val="32"/>
          <w:szCs w:val="32"/>
          <w:rFonts w:ascii="仿宋_GB2312" w:eastAsia="仿宋_GB2312" w:hint="eastAsia"/>
        </w:rPr>
        <w:t>不及格四个等级。85分以上为“优秀”，70-84分为“良</w:t>
      </w:r>
      <w:r>
        <w:rPr>
          <w:sz w:val="32"/>
          <w:szCs w:val="32"/>
          <w:rFonts w:ascii="仿宋_GB2312" w:eastAsia="仿宋_GB2312" w:hint="eastAsia"/>
        </w:rPr>
        <w:t>好”，60-69分为“及格”，60分以下为“不及格”。加分项</w:t>
      </w:r>
      <w:r>
        <w:rPr>
          <w:sz w:val="32"/>
          <w:szCs w:val="32"/>
          <w:rFonts w:ascii="仿宋_GB2312" w:eastAsia="仿宋_GB2312"/>
        </w:rPr>
        <w:t>低于</w:t>
      </w:r>
      <w:r>
        <w:rPr>
          <w:sz w:val="32"/>
          <w:szCs w:val="32"/>
          <w:rFonts w:ascii="仿宋_GB2312" w:eastAsia="仿宋_GB2312" w:hint="eastAsia"/>
        </w:rPr>
        <w:t>10分</w:t>
      </w:r>
      <w:r>
        <w:rPr>
          <w:sz w:val="32"/>
          <w:szCs w:val="32"/>
          <w:rFonts w:ascii="仿宋_GB2312" w:eastAsia="仿宋_GB2312"/>
        </w:rPr>
        <w:t>的，不得评定为</w:t>
      </w:r>
      <w:r>
        <w:rPr>
          <w:sz w:val="32"/>
          <w:szCs w:val="32"/>
          <w:rFonts w:ascii="仿宋_GB2312" w:eastAsia="仿宋_GB2312" w:hint="eastAsia"/>
        </w:rPr>
        <w:t>“</w:t>
      </w:r>
      <w:r>
        <w:rPr>
          <w:sz w:val="32"/>
          <w:szCs w:val="32"/>
          <w:rFonts w:ascii="仿宋_GB2312" w:eastAsia="仿宋_GB2312"/>
        </w:rPr>
        <w:t>优秀</w:t>
      </w:r>
      <w:r>
        <w:rPr>
          <w:sz w:val="32"/>
          <w:szCs w:val="32"/>
          <w:rFonts w:ascii="仿宋_GB2312" w:eastAsia="仿宋_GB2312" w:hint="eastAsia"/>
        </w:rPr>
        <w:t>”</w:t>
      </w:r>
      <w:r>
        <w:rPr>
          <w:sz w:val="32"/>
          <w:szCs w:val="32"/>
          <w:rFonts w:ascii="仿宋_GB2312" w:eastAsia="仿宋_GB2312"/>
        </w:rPr>
        <w:t>等级。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>第十三条</w:t>
      </w:r>
      <w:r>
        <w:rPr>
          <w:b w:val="1"/>
          <w:sz w:val="32"/>
          <w:szCs w:val="32"/>
          <w:rFonts w:ascii="仿宋_GB2312" w:eastAsia="仿宋_GB2312" w:hint="eastAsia"/>
        </w:rPr>
        <w:t xml:space="preserve">  </w:t>
      </w:r>
      <w:r>
        <w:rPr>
          <w:sz w:val="32"/>
          <w:szCs w:val="32"/>
          <w:rFonts w:ascii="仿宋_GB2312" w:eastAsia="仿宋_GB2312" w:hint="eastAsia"/>
        </w:rPr>
        <w:t>考评专家应严格按照考评工作要求，遵守考评</w:t>
      </w:r>
      <w:r>
        <w:rPr>
          <w:sz w:val="32"/>
          <w:szCs w:val="32"/>
          <w:rFonts w:ascii="仿宋_GB2312" w:eastAsia="仿宋_GB2312" w:hint="eastAsia"/>
        </w:rPr>
        <w:t>纪律，科学、公正、独立地行使考评职责和权利，并对考评</w:t>
      </w:r>
      <w:r>
        <w:rPr>
          <w:sz w:val="32"/>
          <w:szCs w:val="32"/>
          <w:rFonts w:ascii="仿宋_GB2312" w:eastAsia="仿宋_GB2312" w:hint="eastAsia"/>
        </w:rPr>
        <w:t>工作所涉及的材料、业务内容、相关知识产权、考评结果等</w:t>
      </w:r>
      <w:r>
        <w:rPr>
          <w:sz w:val="32"/>
          <w:szCs w:val="32"/>
          <w:rFonts w:ascii="仿宋_GB2312" w:eastAsia="仿宋_GB2312" w:hint="eastAsia"/>
        </w:rPr>
        <w:t>负有保密义务。</w:t>
      </w:r>
    </w:p>
    <w:p>
      <w:pPr>
        <w:jc w:val="center"/>
        <w:spacing w:lineRule="exact" w:line="580" w:before="360" w:after="360"/>
        <w:rPr>
          <w:sz w:val="32"/>
          <w:szCs w:val="32"/>
          <w:rFonts w:ascii="黑体" w:eastAsia="黑体" w:hAnsi="黑体"/>
        </w:rPr>
      </w:pPr>
      <w:r>
        <w:rPr>
          <w:sz w:val="32"/>
          <w:szCs w:val="32"/>
          <w:rFonts w:ascii="黑体" w:eastAsia="黑体" w:hAnsi="黑体" w:hint="eastAsia"/>
        </w:rPr>
        <w:t xml:space="preserve">第四章  考评结果应用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>第十四条</w:t>
      </w:r>
      <w:r>
        <w:rPr>
          <w:b w:val="1"/>
          <w:sz w:val="32"/>
          <w:szCs w:val="32"/>
          <w:rFonts w:ascii="仿宋_GB2312" w:eastAsia="仿宋_GB2312" w:hint="eastAsia"/>
        </w:rPr>
        <w:t xml:space="preserve">  </w:t>
      </w:r>
      <w:r>
        <w:rPr>
          <w:sz w:val="32"/>
          <w:szCs w:val="32"/>
          <w:rFonts w:ascii="仿宋_GB2312" w:eastAsia="仿宋_GB2312" w:hint="eastAsia"/>
        </w:rPr>
        <w:t>统一考评完成后，考评组形成每个立项项目的</w:t>
      </w:r>
      <w:r>
        <w:rPr>
          <w:sz w:val="32"/>
          <w:szCs w:val="32"/>
          <w:rFonts w:ascii="仿宋_GB2312" w:eastAsia="仿宋_GB2312" w:hint="eastAsia"/>
        </w:rPr>
        <w:t>考评意见，包括总体评价、考评得分、存在的问题、改进的</w:t>
      </w:r>
      <w:r>
        <w:rPr>
          <w:sz w:val="32"/>
          <w:szCs w:val="32"/>
          <w:rFonts w:ascii="仿宋_GB2312" w:eastAsia="仿宋_GB2312" w:hint="eastAsia"/>
        </w:rPr>
        <w:t>建议等。在此基础上形成总的考评报告，向省教育厅、省财</w:t>
      </w:r>
      <w:r>
        <w:rPr>
          <w:sz w:val="32"/>
          <w:szCs w:val="32"/>
          <w:rFonts w:ascii="仿宋_GB2312" w:eastAsia="仿宋_GB2312" w:hint="eastAsia"/>
        </w:rPr>
        <w:t>政厅、省科技厅反馈考评情况,包括实施总体情况、存在的突</w:t>
      </w:r>
      <w:r>
        <w:rPr>
          <w:sz w:val="32"/>
          <w:szCs w:val="32"/>
          <w:rFonts w:ascii="仿宋_GB2312" w:eastAsia="仿宋_GB2312" w:hint="eastAsia"/>
        </w:rPr>
        <w:t>出问题、项目管理的亮点、改进工作的建议、具有推广价值</w:t>
      </w:r>
      <w:r>
        <w:rPr>
          <w:sz w:val="32"/>
          <w:szCs w:val="32"/>
          <w:rFonts w:ascii="仿宋_GB2312" w:eastAsia="仿宋_GB2312" w:hint="eastAsia"/>
        </w:rPr>
        <w:t>的措施等。</w:t>
      </w:r>
    </w:p>
    <w:p>
      <w:pPr>
        <w:spacing w:lineRule="exact" w:line="580"/>
        <w:ind w:firstLine="200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>第十五条</w:t>
      </w:r>
      <w:r>
        <w:rPr>
          <w:b w:val="1"/>
          <w:sz w:val="32"/>
          <w:szCs w:val="32"/>
          <w:rFonts w:ascii="仿宋_GB2312" w:eastAsia="仿宋_GB2312" w:hAnsi="宋体" w:cs="宋体" w:hint="eastAsia"/>
        </w:rPr>
        <w:t xml:space="preserve"> </w:t>
      </w:r>
      <w:r>
        <w:rPr>
          <w:rStyle w:val="PO20"/>
          <w:color w:val="000000"/>
          <w:sz w:val="32"/>
          <w:szCs w:val="32"/>
          <w:rFonts w:ascii="仿宋_GB2312" w:eastAsia="仿宋_GB2312" w:hAnsi="Courier New" w:cs="Courier New" w:hint="eastAsia"/>
        </w:rPr>
        <w:t xml:space="preserve"> </w:t>
      </w:r>
      <w:r>
        <w:rPr>
          <w:sz w:val="32"/>
          <w:szCs w:val="32"/>
          <w:rFonts w:ascii="仿宋_GB2312" w:eastAsia="仿宋_GB2312" w:hint="eastAsia"/>
        </w:rPr>
        <w:t>省教育厅、省财政厅、省科技厅根据考评结果，</w:t>
      </w:r>
      <w:r>
        <w:rPr>
          <w:sz w:val="32"/>
          <w:szCs w:val="32"/>
          <w:rFonts w:ascii="仿宋_GB2312" w:eastAsia="仿宋_GB2312" w:hint="eastAsia"/>
        </w:rPr>
        <w:t>及时总结建设成效及经验，进一步完善管理运行，引导建设</w:t>
      </w:r>
      <w:r>
        <w:rPr>
          <w:sz w:val="32"/>
          <w:szCs w:val="32"/>
          <w:rFonts w:ascii="仿宋_GB2312" w:eastAsia="仿宋_GB2312" w:hint="eastAsia"/>
        </w:rPr>
        <w:t>单位不断提高资金使用效益，提升立项项目建设和管理水平，</w:t>
      </w:r>
      <w:r>
        <w:rPr>
          <w:sz w:val="32"/>
          <w:szCs w:val="32"/>
          <w:rFonts w:ascii="仿宋_GB2312" w:eastAsia="仿宋_GB2312" w:hint="eastAsia"/>
        </w:rPr>
        <w:t>增强高校专业建设、人才培养、科技创新能力和服务我省</w:t>
      </w:r>
      <w:r>
        <w:rPr>
          <w:sz w:val="32"/>
          <w:szCs w:val="32"/>
          <w:rFonts w:ascii="仿宋_GB2312" w:eastAsia="仿宋_GB2312" w:hint="eastAsia"/>
        </w:rPr>
        <w:t>“十强”产业发展、新旧动能转换能力。</w:t>
      </w:r>
    </w:p>
    <w:p>
      <w:pPr>
        <w:spacing w:lineRule="exact" w:line="580"/>
        <w:ind w:firstLine="196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楷体_GB2312" w:eastAsia="楷体_GB2312" w:hint="eastAsia"/>
        </w:rPr>
        <w:t xml:space="preserve">第十六条 </w:t>
      </w:r>
      <w:r>
        <w:rPr>
          <w:sz w:val="32"/>
          <w:szCs w:val="32"/>
          <w:rFonts w:ascii="仿宋_GB2312" w:eastAsia="仿宋_GB2312" w:hint="eastAsia"/>
        </w:rPr>
        <w:t xml:space="preserve"> 考评结果由省教育厅、省财政厅、省科技厅在一</w:t>
      </w:r>
      <w:r>
        <w:rPr>
          <w:sz w:val="32"/>
          <w:szCs w:val="32"/>
          <w:rFonts w:ascii="仿宋_GB2312" w:eastAsia="仿宋_GB2312" w:hint="eastAsia"/>
        </w:rPr>
        <w:t>定范围内予以公布。根据进展情况、资金管理、使用绩效等</w:t>
      </w:r>
      <w:r>
        <w:rPr>
          <w:sz w:val="32"/>
          <w:szCs w:val="32"/>
          <w:rFonts w:ascii="仿宋_GB2312" w:eastAsia="仿宋_GB2312" w:hint="eastAsia"/>
        </w:rPr>
        <w:t>情况，动态调整支持力度。“中期评估”结果优秀者</w:t>
      </w:r>
      <w:r>
        <w:rPr>
          <w:sz w:val="32"/>
          <w:szCs w:val="32"/>
          <w:rFonts w:ascii="仿宋_GB2312" w:eastAsia="仿宋_GB2312" w:hAnsi="宋体" w:cs="宋体" w:hint="eastAsia"/>
        </w:rPr>
        <w:t>，给予</w:t>
      </w:r>
      <w:r>
        <w:rPr>
          <w:sz w:val="32"/>
          <w:szCs w:val="32"/>
          <w:rFonts w:ascii="仿宋_GB2312" w:eastAsia="仿宋_GB2312" w:hAnsi="宋体" w:cs="宋体" w:hint="eastAsia"/>
        </w:rPr>
        <w:t>适当增加支持经费奖励；不及格者或考评得分排名靠后者，</w:t>
      </w:r>
      <w:r>
        <w:rPr>
          <w:sz w:val="32"/>
          <w:szCs w:val="32"/>
          <w:rFonts w:ascii="仿宋_GB2312" w:eastAsia="仿宋_GB2312" w:hAnsi="宋体" w:cs="宋体" w:hint="eastAsia"/>
        </w:rPr>
        <w:t>视情况减拨或停止其支持经费。</w:t>
      </w:r>
      <w:r>
        <w:rPr>
          <w:sz w:val="32"/>
          <w:szCs w:val="32"/>
          <w:rFonts w:ascii="仿宋_GB2312" w:eastAsia="仿宋_GB2312" w:hint="eastAsia"/>
        </w:rPr>
        <w:t>“期满考核”</w:t>
      </w:r>
      <w:r>
        <w:rPr>
          <w:sz w:val="32"/>
          <w:szCs w:val="32"/>
          <w:rFonts w:ascii="仿宋_GB2312" w:eastAsia="仿宋_GB2312" w:hAnsi="宋体" w:hint="eastAsia"/>
        </w:rPr>
        <w:t>成绩优秀</w:t>
      </w:r>
      <w:r>
        <w:rPr>
          <w:sz w:val="32"/>
          <w:szCs w:val="32"/>
          <w:rFonts w:ascii="仿宋_GB2312" w:eastAsia="仿宋_GB2312" w:hAnsi="宋体" w:cs="宋体" w:hint="eastAsia"/>
        </w:rPr>
        <w:t>者，</w:t>
      </w:r>
      <w:r>
        <w:rPr>
          <w:sz w:val="32"/>
          <w:szCs w:val="32"/>
          <w:rFonts w:ascii="仿宋_GB2312" w:eastAsia="仿宋_GB2312" w:hAnsi="宋体" w:cs="宋体" w:hint="eastAsia"/>
        </w:rPr>
        <w:t>列入下一周期建设计划；不</w:t>
      </w:r>
      <w:r>
        <w:rPr>
          <w:sz w:val="32"/>
          <w:szCs w:val="32"/>
          <w:rFonts w:ascii="仿宋_GB2312" w:eastAsia="仿宋_GB2312" w:hAnsi="宋体" w:hint="eastAsia"/>
        </w:rPr>
        <w:t>及格者，视情况决定处理意见。</w:t>
      </w:r>
    </w:p>
    <w:p>
      <w:pPr>
        <w:jc w:val="center"/>
        <w:spacing w:lineRule="exact" w:line="580" w:before="360" w:after="360"/>
        <w:rPr>
          <w:sz w:val="32"/>
          <w:szCs w:val="32"/>
          <w:rFonts w:ascii="黑体" w:eastAsia="黑体" w:hAnsi="黑体"/>
        </w:rPr>
      </w:pPr>
      <w:r>
        <w:rPr>
          <w:sz w:val="32"/>
          <w:szCs w:val="32"/>
          <w:rFonts w:ascii="黑体" w:eastAsia="黑体" w:hAnsi="黑体" w:hint="eastAsia"/>
        </w:rPr>
        <w:t xml:space="preserve">第五章  附  则</w:t>
      </w:r>
    </w:p>
    <w:p>
      <w:pPr>
        <w:pStyle w:val="PO151"/>
        <w:spacing w:lineRule="exact" w:line="580" w:before="0" w:after="0"/>
        <w:ind w:firstLine="630"/>
        <w:rPr>
          <w:sz w:val="32"/>
          <w:szCs w:val="32"/>
          <w:rFonts w:ascii="仿宋_GB2312" w:eastAsia="仿宋_GB2312" w:hAnsi="Times New Roman" w:cs="Times New Roman"/>
        </w:rPr>
      </w:pPr>
      <w:r>
        <w:rPr>
          <w:sz w:val="32"/>
          <w:szCs w:val="32"/>
          <w:rFonts w:ascii="楷体_GB2312" w:eastAsia="楷体_GB2312" w:hAnsi="Times New Roman" w:cs="Times New Roman" w:hint="eastAsia"/>
        </w:rPr>
        <w:t>第十七条</w:t>
      </w:r>
      <w:r>
        <w:rPr>
          <w:sz w:val="32"/>
          <w:szCs w:val="32"/>
          <w:rFonts w:ascii="仿宋_GB2312" w:eastAsia="仿宋_GB2312" w:hAnsi="Times New Roman" w:cs="Times New Roman" w:hint="eastAsia"/>
        </w:rPr>
        <w:t xml:space="preserve">  本办法由</w:t>
      </w:r>
      <w:r>
        <w:rPr>
          <w:sz w:val="32"/>
          <w:szCs w:val="32"/>
          <w:rFonts w:ascii="仿宋_GB2312" w:eastAsia="仿宋_GB2312" w:hint="eastAsia"/>
        </w:rPr>
        <w:t>省教育厅、省财政厅、省科技厅</w:t>
      </w:r>
      <w:r>
        <w:rPr>
          <w:sz w:val="32"/>
          <w:szCs w:val="32"/>
          <w:rFonts w:ascii="仿宋_GB2312" w:eastAsia="仿宋_GB2312" w:hAnsi="Times New Roman" w:cs="Times New Roman" w:hint="eastAsia"/>
        </w:rPr>
        <w:t>负责解释。</w:t>
      </w:r>
    </w:p>
    <w:p>
      <w:pPr>
        <w:pStyle w:val="PO151"/>
        <w:spacing w:lineRule="exact" w:line="580" w:before="0" w:after="0"/>
        <w:ind w:firstLine="630"/>
        <w:rPr>
          <w:sz w:val="32"/>
          <w:szCs w:val="32"/>
          <w:rFonts w:ascii="仿宋_GB2312" w:eastAsia="仿宋_GB2312" w:hAnsi="Times New Roman" w:cs="Times New Roman"/>
        </w:rPr>
      </w:pPr>
      <w:r>
        <w:rPr>
          <w:sz w:val="32"/>
          <w:szCs w:val="32"/>
          <w:rFonts w:ascii="楷体_GB2312" w:eastAsia="楷体_GB2312" w:hAnsi="Times New Roman" w:cs="Times New Roman" w:hint="eastAsia"/>
        </w:rPr>
        <w:t>第十八条</w:t>
      </w:r>
      <w:r>
        <w:rPr>
          <w:sz w:val="32"/>
          <w:szCs w:val="32"/>
          <w:rFonts w:ascii="仿宋_GB2312" w:eastAsia="仿宋_GB2312" w:hAnsi="Times New Roman" w:cs="Times New Roman" w:hint="eastAsia"/>
        </w:rPr>
        <w:t xml:space="preserve">  本办法自发布之日起施行。</w:t>
      </w:r>
    </w:p>
    <w:p>
      <w:pPr>
        <w:pStyle w:val="PO151"/>
        <w:spacing w:lineRule="exact" w:line="580" w:before="0" w:after="0"/>
        <w:ind w:firstLine="630"/>
        <w:rPr>
          <w:sz w:val="32"/>
          <w:szCs w:val="32"/>
          <w:rFonts w:ascii="仿宋_GB2312" w:eastAsia="仿宋_GB2312" w:hAnsi="Times New Roman" w:cs="Times New Roman"/>
        </w:rPr>
      </w:pPr>
    </w:p>
    <w:p>
      <w:pPr>
        <w:pStyle w:val="PO151"/>
        <w:spacing w:lineRule="exact" w:line="580" w:before="0" w:after="0"/>
        <w:ind w:firstLine="630"/>
        <w:rPr>
          <w:sz w:val="32"/>
          <w:szCs w:val="32"/>
          <w:rFonts w:ascii="仿宋_GB2312" w:eastAsia="仿宋_GB2312" w:hAnsi="Times New Roman" w:cs="Times New Roman"/>
        </w:rPr>
      </w:pPr>
    </w:p>
    <w:p>
      <w:pPr>
        <w:pStyle w:val="PO151"/>
        <w:spacing w:lineRule="exact" w:line="580" w:before="0" w:after="0"/>
        <w:ind w:firstLine="630"/>
        <w:rPr>
          <w:sz w:val="32"/>
          <w:szCs w:val="32"/>
          <w:rFonts w:ascii="仿宋_GB2312" w:eastAsia="仿宋_GB2312" w:hAnsi="Times New Roman" w:cs="Times New Roman"/>
        </w:rPr>
      </w:pPr>
    </w:p>
    <w:p>
      <w:pPr>
        <w:pStyle w:val="PO151"/>
        <w:spacing w:lineRule="exact" w:line="580" w:before="0" w:after="0"/>
        <w:ind w:left="2158" w:hanging="1526" w:leftChars="632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 w:hAnsi="Times New Roman" w:cs="Times New Roman" w:hint="eastAsia"/>
        </w:rPr>
        <w:t>附件：</w:t>
      </w:r>
      <w:r>
        <w:rPr>
          <w:sz w:val="32"/>
          <w:szCs w:val="32"/>
          <w:rFonts w:ascii="仿宋_GB2312" w:eastAsia="仿宋_GB2312" w:hint="eastAsia"/>
        </w:rPr>
        <w:t xml:space="preserve">1. 山东省</w:t>
      </w:r>
      <w:r>
        <w:rPr>
          <w:color w:val="000000"/>
          <w:sz w:val="32"/>
          <w:szCs w:val="32"/>
          <w:rFonts w:ascii="仿宋_GB2312" w:eastAsia="仿宋_GB2312" w:hint="eastAsia"/>
        </w:rPr>
        <w:t>教育服务新旧动能转换专业对接产业</w:t>
      </w:r>
      <w:r>
        <w:rPr>
          <w:color w:val="000000"/>
          <w:sz w:val="32"/>
          <w:szCs w:val="32"/>
          <w:rFonts w:ascii="仿宋_GB2312" w:eastAsia="仿宋_GB2312" w:hint="eastAsia"/>
        </w:rPr>
        <w:t>项目</w:t>
      </w:r>
      <w:r>
        <w:rPr>
          <w:sz w:val="32"/>
          <w:szCs w:val="32"/>
          <w:rFonts w:ascii="仿宋_GB2312" w:eastAsia="仿宋_GB2312" w:hint="eastAsia"/>
        </w:rPr>
        <w:t>绩效考评指标及计分表</w:t>
      </w:r>
    </w:p>
    <w:p>
      <w:pPr>
        <w:pStyle w:val="PO151"/>
        <w:spacing w:lineRule="exact" w:line="580" w:before="0" w:after="0"/>
        <w:ind w:left="2055" w:hanging="480" w:leftChars="1575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 w:hint="eastAsia"/>
        </w:rPr>
        <w:t xml:space="preserve">2. 山东省</w:t>
      </w:r>
      <w:r>
        <w:rPr>
          <w:color w:val="000000"/>
          <w:sz w:val="32"/>
          <w:szCs w:val="32"/>
          <w:rFonts w:ascii="仿宋_GB2312" w:eastAsia="仿宋_GB2312" w:hint="eastAsia"/>
        </w:rPr>
        <w:t>教育服务新旧动能转换专业对接产业</w:t>
      </w:r>
      <w:r>
        <w:rPr>
          <w:color w:val="000000"/>
          <w:sz w:val="32"/>
          <w:szCs w:val="32"/>
          <w:rFonts w:ascii="仿宋_GB2312" w:eastAsia="仿宋_GB2312" w:hint="eastAsia"/>
        </w:rPr>
        <w:t>项目</w:t>
      </w:r>
      <w:r>
        <w:rPr>
          <w:sz w:val="32"/>
          <w:szCs w:val="32"/>
          <w:rFonts w:ascii="仿宋_GB2312" w:eastAsia="仿宋_GB2312" w:hint="eastAsia"/>
        </w:rPr>
        <w:t>实施成效汇总表</w:t>
      </w:r>
    </w:p>
    <w:p>
      <w:pPr>
        <w:spacing w:lineRule="exact" w:line="580"/>
        <w:ind w:left="2055" w:hanging="480" w:leftChars="1575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 w:hint="eastAsia"/>
        </w:rPr>
        <w:t xml:space="preserve">3. 山东省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教育服务新旧动能转换专业对接产业</w:t>
      </w:r>
      <w:r>
        <w:rPr>
          <w:color w:val="000000"/>
          <w:sz w:val="32"/>
          <w:szCs w:val="32"/>
          <w:rFonts w:ascii="仿宋_GB2312" w:eastAsia="仿宋_GB2312" w:hAnsi="宋体" w:cs="宋体" w:hint="eastAsia"/>
        </w:rPr>
        <w:t>项目</w:t>
      </w:r>
      <w:r>
        <w:rPr>
          <w:sz w:val="32"/>
          <w:szCs w:val="32"/>
          <w:rFonts w:ascii="仿宋_GB2312" w:eastAsia="仿宋_GB2312" w:hint="eastAsia"/>
        </w:rPr>
        <w:t>绩效自评报告</w:t>
      </w:r>
    </w:p>
    <w:p>
      <w:pPr>
        <w:jc w:val="left"/>
        <w:spacing w:lineRule="exact" w:line="640"/>
        <w:rPr>
          <w:sz w:val="36"/>
          <w:szCs w:val="36"/>
          <w:rFonts w:ascii="方正小标宋简体" w:eastAsia="方正小标宋简体"/>
        </w:rPr>
      </w:pPr>
    </w:p>
    <w:p>
      <w:pPr>
        <w:pStyle w:val="PO1"/>
        <w:rPr>
          <w:rStyle w:val="PO1"/>
        </w:rPr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52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52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52"/>
    <w:family w:val="swiss"/>
    <w:pitch w:val="default"/>
    <w:sig w:usb0="80000287" w:usb1="28cf3c50" w:usb2="00000016" w:usb3="00000000" w:csb0="0004001f" w:csb1="00000000"/>
  </w:font>
  <w:font w:name="楷体_GB2312">
    <w:panose1 w:val="02010609030101010101"/>
    <w:charset w:val="52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52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Theme="minorHAnsi" w:eastAsiaTheme="minorEastAsia" w:hAnsiTheme="minorHAnsi" w:cstheme="minorBidi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Theme="minorHAnsi" w:eastAsiaTheme="minorEastAsia" w:hAnsiTheme="minorHAnsi" w:cstheme="minorBidi"/>
      <w:lang w:bidi="ar-SA" w:eastAsia="zh-CN" w:val="en-US"/>
    </w:rPr>
  </w:style>
  <w:style w:default="1" w:styleId="PO2" w:type="character">
    <w:name w:val="Default Paragraph Font"/>
    <w:uiPriority w:val="2"/>
    <w:semiHidden/>
  </w:style>
  <w:style w:default="1" w:styleId="PO3" w:type="table">
    <w:name w:val="Normal Table"/>
    <w:qFormat/>
    <w:uiPriority w:val="3"/>
    <w:semiHidden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20" w:type="character">
    <w:name w:val="Strong"/>
    <w:basedOn w:val="PO2"/>
    <w:qFormat/>
    <w:uiPriority w:val="20"/>
    <w:rPr>
      <w:b w:val="1"/>
    </w:rPr>
  </w:style>
  <w:style w:styleId="PO151" w:type="paragraph">
    <w:name w:val="Normal (Web)"/>
    <w:basedOn w:val="PO1"/>
    <w:uiPriority w:val="151"/>
    <w:pPr>
      <w:jc w:val="left"/>
      <w:spacing w:before="100" w:beforeAutospacing="1" w:afterAutospacing="1" w:after="100"/>
      <w:rPr/>
    </w:pPr>
    <w:rPr>
      <w:sz w:val="24"/>
      <w:szCs w:val="24"/>
      <w:rFonts w:ascii="宋体" w:eastAsia="宋体" w:hAnsi="宋体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5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c</dc:creator>
  <cp:lastModifiedBy/>
  <dcterms:modified xsi:type="dcterms:W3CDTF">2019-10-30T00:59:31Z</dcterms:modified>
</cp:coreProperties>
</file>