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71F" w:rsidRPr="00277578" w:rsidRDefault="0060271F" w:rsidP="0060271F">
      <w:pPr>
        <w:spacing w:line="360" w:lineRule="atLeast"/>
        <w:ind w:right="-21"/>
        <w:jc w:val="center"/>
        <w:rPr>
          <w:rFonts w:ascii="宋体" w:hAnsi="宋体" w:cs="宋体"/>
          <w:b/>
          <w:color w:val="000000"/>
          <w:kern w:val="0"/>
          <w:szCs w:val="32"/>
        </w:rPr>
      </w:pPr>
      <w:bookmarkStart w:id="0" w:name="_GoBack"/>
      <w:bookmarkEnd w:id="0"/>
      <w:r w:rsidRPr="00277578">
        <w:rPr>
          <w:rFonts w:ascii="方正小标宋_GBK" w:eastAsia="方正小标宋_GBK" w:hAnsi="宋体" w:cs="宋体" w:hint="eastAsia"/>
          <w:color w:val="000000"/>
          <w:kern w:val="0"/>
          <w:sz w:val="36"/>
          <w:szCs w:val="36"/>
        </w:rPr>
        <w:t>青岛大学“标准化与社会治理”微专业招生方案</w:t>
      </w:r>
    </w:p>
    <w:p w:rsidR="0060271F" w:rsidRPr="00277578" w:rsidRDefault="0060271F" w:rsidP="00424DFF">
      <w:pPr>
        <w:spacing w:line="560" w:lineRule="exact"/>
        <w:ind w:firstLineChars="200" w:firstLine="643"/>
        <w:rPr>
          <w:rFonts w:ascii="宋体" w:hAnsi="宋体"/>
          <w:b/>
          <w:szCs w:val="21"/>
        </w:rPr>
      </w:pPr>
      <w:r w:rsidRPr="00277578">
        <w:rPr>
          <w:rFonts w:ascii="宋体" w:hAnsi="宋体" w:hint="eastAsia"/>
          <w:b/>
          <w:szCs w:val="21"/>
        </w:rPr>
        <w:t>一</w:t>
      </w:r>
      <w:r w:rsidRPr="00277578">
        <w:rPr>
          <w:rFonts w:ascii="宋体" w:hAnsi="宋体"/>
          <w:b/>
          <w:szCs w:val="21"/>
        </w:rPr>
        <w:t>、微专业简介</w:t>
      </w:r>
    </w:p>
    <w:p w:rsidR="00277578" w:rsidRPr="00277578" w:rsidRDefault="00277578" w:rsidP="00277578">
      <w:pPr>
        <w:adjustRightInd w:val="0"/>
        <w:snapToGrid w:val="0"/>
        <w:spacing w:line="520" w:lineRule="exact"/>
        <w:ind w:firstLineChars="200" w:firstLine="640"/>
        <w:rPr>
          <w:rFonts w:ascii="宋体" w:hAnsi="宋体"/>
          <w:color w:val="000000" w:themeColor="text1"/>
          <w:szCs w:val="21"/>
        </w:rPr>
      </w:pPr>
      <w:r w:rsidRPr="00277578">
        <w:rPr>
          <w:rFonts w:ascii="宋体" w:hAnsi="宋体" w:hint="eastAsia"/>
          <w:color w:val="000000" w:themeColor="text1"/>
          <w:szCs w:val="21"/>
        </w:rPr>
        <w:t>青岛大学是国内首所兴办标准化工程本科专业的综合性大学，标准化教育在全国范围内已形成独特的特色和优势。质量与标准化学院经过</w:t>
      </w:r>
      <w:r w:rsidRPr="00277578">
        <w:rPr>
          <w:rFonts w:ascii="宋体" w:hAnsi="宋体" w:hint="eastAsia"/>
          <w:color w:val="000000" w:themeColor="text1"/>
          <w:szCs w:val="21"/>
        </w:rPr>
        <w:t>5</w:t>
      </w:r>
      <w:r w:rsidRPr="00277578">
        <w:rPr>
          <w:rFonts w:ascii="宋体" w:hAnsi="宋体" w:hint="eastAsia"/>
          <w:color w:val="000000" w:themeColor="text1"/>
          <w:szCs w:val="21"/>
        </w:rPr>
        <w:t>年的发展，确立了“双专业</w:t>
      </w:r>
      <w:r w:rsidRPr="00277578">
        <w:rPr>
          <w:rFonts w:ascii="宋体" w:hAnsi="宋体" w:hint="eastAsia"/>
          <w:color w:val="000000" w:themeColor="text1"/>
          <w:szCs w:val="21"/>
        </w:rPr>
        <w:t>+</w:t>
      </w:r>
      <w:r w:rsidRPr="00277578">
        <w:rPr>
          <w:rFonts w:ascii="宋体" w:hAnsi="宋体" w:hint="eastAsia"/>
          <w:color w:val="000000" w:themeColor="text1"/>
          <w:szCs w:val="21"/>
        </w:rPr>
        <w:t>微专业</w:t>
      </w:r>
      <w:r w:rsidRPr="00277578">
        <w:rPr>
          <w:rFonts w:ascii="宋体" w:hAnsi="宋体" w:hint="eastAsia"/>
          <w:color w:val="000000" w:themeColor="text1"/>
          <w:szCs w:val="21"/>
        </w:rPr>
        <w:t>+</w:t>
      </w:r>
      <w:r w:rsidRPr="00277578">
        <w:rPr>
          <w:rFonts w:ascii="宋体" w:hAnsi="宋体" w:hint="eastAsia"/>
          <w:color w:val="000000" w:themeColor="text1"/>
          <w:szCs w:val="21"/>
        </w:rPr>
        <w:t>通识教育”的本科</w:t>
      </w:r>
      <w:r w:rsidRPr="00277578">
        <w:rPr>
          <w:rFonts w:ascii="宋体" w:hAnsi="宋体" w:hint="eastAsia"/>
          <w:color w:val="000000" w:themeColor="text1"/>
          <w:szCs w:val="21"/>
        </w:rPr>
        <w:t>3MG</w:t>
      </w:r>
      <w:r w:rsidRPr="00277578">
        <w:rPr>
          <w:rFonts w:ascii="宋体" w:hAnsi="宋体" w:hint="eastAsia"/>
          <w:color w:val="000000" w:themeColor="text1"/>
          <w:szCs w:val="21"/>
        </w:rPr>
        <w:t>人才培养模式</w:t>
      </w:r>
      <w:r w:rsidRPr="00277578">
        <w:rPr>
          <w:rFonts w:ascii="宋体" w:hAnsi="宋体"/>
          <w:color w:val="000000" w:themeColor="text1"/>
          <w:szCs w:val="21"/>
        </w:rPr>
        <w:t>，</w:t>
      </w:r>
      <w:r w:rsidRPr="00277578">
        <w:rPr>
          <w:rFonts w:ascii="宋体" w:hAnsi="宋体" w:hint="eastAsia"/>
          <w:color w:val="000000" w:themeColor="text1"/>
          <w:szCs w:val="21"/>
        </w:rPr>
        <w:t>构建了标准化专业本硕博一体化人才培养体系，打造了一支高水平标准化教育的师资队伍。学院拥有国家级人才</w:t>
      </w:r>
      <w:r w:rsidRPr="00277578">
        <w:rPr>
          <w:rFonts w:ascii="宋体" w:hAnsi="宋体" w:hint="eastAsia"/>
          <w:color w:val="000000" w:themeColor="text1"/>
          <w:szCs w:val="21"/>
        </w:rPr>
        <w:t>3</w:t>
      </w:r>
      <w:r w:rsidRPr="00277578">
        <w:rPr>
          <w:rFonts w:ascii="宋体" w:hAnsi="宋体" w:hint="eastAsia"/>
          <w:color w:val="000000" w:themeColor="text1"/>
          <w:szCs w:val="21"/>
        </w:rPr>
        <w:t>人，专业教师的博士学位拥有率达</w:t>
      </w:r>
      <w:r w:rsidRPr="00277578">
        <w:rPr>
          <w:rFonts w:ascii="宋体" w:hAnsi="宋体"/>
          <w:color w:val="000000" w:themeColor="text1"/>
          <w:szCs w:val="21"/>
        </w:rPr>
        <w:t>100%</w:t>
      </w:r>
      <w:r w:rsidRPr="00277578">
        <w:rPr>
          <w:rFonts w:ascii="宋体" w:hAnsi="宋体"/>
          <w:color w:val="000000" w:themeColor="text1"/>
          <w:szCs w:val="21"/>
        </w:rPr>
        <w:t>，</w:t>
      </w:r>
      <w:r w:rsidRPr="00277578">
        <w:rPr>
          <w:rFonts w:ascii="宋体" w:hAnsi="宋体"/>
          <w:color w:val="000000" w:themeColor="text1"/>
          <w:szCs w:val="21"/>
        </w:rPr>
        <w:t>78.6%</w:t>
      </w:r>
      <w:r w:rsidRPr="00277578">
        <w:rPr>
          <w:rFonts w:ascii="宋体" w:hAnsi="宋体"/>
          <w:color w:val="000000" w:themeColor="text1"/>
          <w:szCs w:val="21"/>
        </w:rPr>
        <w:t>的教师具有海外访学经历，</w:t>
      </w:r>
      <w:r w:rsidRPr="00277578">
        <w:rPr>
          <w:rFonts w:ascii="宋体" w:hAnsi="宋体"/>
          <w:color w:val="000000" w:themeColor="text1"/>
          <w:szCs w:val="21"/>
        </w:rPr>
        <w:t>80%</w:t>
      </w:r>
      <w:r w:rsidRPr="00277578">
        <w:rPr>
          <w:rFonts w:ascii="宋体" w:hAnsi="宋体"/>
          <w:color w:val="000000" w:themeColor="text1"/>
          <w:szCs w:val="21"/>
        </w:rPr>
        <w:t>以上教师拥有标准化资格与能力证书</w:t>
      </w:r>
      <w:r w:rsidRPr="00277578">
        <w:rPr>
          <w:rFonts w:ascii="宋体" w:hAnsi="宋体" w:hint="eastAsia"/>
          <w:color w:val="000000" w:themeColor="text1"/>
          <w:szCs w:val="21"/>
        </w:rPr>
        <w:t>，近</w:t>
      </w:r>
      <w:r w:rsidRPr="00277578">
        <w:rPr>
          <w:rFonts w:ascii="宋体" w:hAnsi="宋体"/>
          <w:color w:val="000000" w:themeColor="text1"/>
          <w:szCs w:val="21"/>
        </w:rPr>
        <w:t>3</w:t>
      </w:r>
      <w:r w:rsidRPr="00277578">
        <w:rPr>
          <w:rFonts w:ascii="宋体" w:hAnsi="宋体"/>
          <w:color w:val="000000" w:themeColor="text1"/>
          <w:szCs w:val="21"/>
        </w:rPr>
        <w:t>年学院获批国家社科基金重点项目、教育部人文社科规划项目、山东省自然科学基金等国家级和省部级项目</w:t>
      </w:r>
      <w:r w:rsidRPr="00277578">
        <w:rPr>
          <w:rFonts w:ascii="宋体" w:hAnsi="宋体" w:hint="eastAsia"/>
          <w:color w:val="000000" w:themeColor="text1"/>
          <w:szCs w:val="21"/>
        </w:rPr>
        <w:t>3</w:t>
      </w:r>
      <w:r w:rsidRPr="00277578">
        <w:rPr>
          <w:rFonts w:ascii="宋体" w:hAnsi="宋体"/>
          <w:color w:val="000000" w:themeColor="text1"/>
          <w:szCs w:val="21"/>
        </w:rPr>
        <w:t>0</w:t>
      </w:r>
      <w:r w:rsidRPr="00277578">
        <w:rPr>
          <w:rFonts w:ascii="宋体" w:hAnsi="宋体" w:hint="eastAsia"/>
          <w:color w:val="000000" w:themeColor="text1"/>
          <w:szCs w:val="21"/>
        </w:rPr>
        <w:t>余项。</w:t>
      </w:r>
    </w:p>
    <w:p w:rsidR="00277578" w:rsidRPr="00277578" w:rsidRDefault="00277578" w:rsidP="00277578">
      <w:pPr>
        <w:adjustRightInd w:val="0"/>
        <w:snapToGrid w:val="0"/>
        <w:spacing w:line="520" w:lineRule="exact"/>
        <w:ind w:firstLineChars="200" w:firstLine="640"/>
        <w:rPr>
          <w:rFonts w:ascii="宋体" w:hAnsi="宋体"/>
          <w:color w:val="000000" w:themeColor="text1"/>
          <w:szCs w:val="21"/>
        </w:rPr>
      </w:pPr>
      <w:r w:rsidRPr="00277578">
        <w:rPr>
          <w:rFonts w:ascii="宋体" w:hAnsi="宋体" w:hint="eastAsia"/>
          <w:color w:val="000000" w:themeColor="text1"/>
          <w:szCs w:val="21"/>
        </w:rPr>
        <w:t>本着“宽口径、厚基础、小规模、国际化”的专业建设宗旨，青岛大学标准化工程专业在</w:t>
      </w:r>
      <w:r w:rsidRPr="00277578">
        <w:rPr>
          <w:rFonts w:ascii="宋体" w:hAnsi="宋体" w:hint="eastAsia"/>
          <w:color w:val="000000" w:themeColor="text1"/>
          <w:szCs w:val="21"/>
        </w:rPr>
        <w:t>2021</w:t>
      </w:r>
      <w:r w:rsidRPr="00277578">
        <w:rPr>
          <w:rFonts w:ascii="宋体" w:hAnsi="宋体" w:hint="eastAsia"/>
          <w:color w:val="000000" w:themeColor="text1"/>
          <w:szCs w:val="21"/>
        </w:rPr>
        <w:t>年</w:t>
      </w:r>
      <w:r w:rsidRPr="00277578">
        <w:rPr>
          <w:rFonts w:ascii="宋体" w:hAnsi="宋体" w:hint="eastAsia"/>
          <w:color w:val="000000" w:themeColor="text1"/>
          <w:szCs w:val="21"/>
        </w:rPr>
        <w:t>6</w:t>
      </w:r>
      <w:r w:rsidRPr="00277578">
        <w:rPr>
          <w:rFonts w:ascii="宋体" w:hAnsi="宋体" w:hint="eastAsia"/>
          <w:color w:val="000000" w:themeColor="text1"/>
          <w:szCs w:val="21"/>
        </w:rPr>
        <w:t>月</w:t>
      </w:r>
      <w:r w:rsidRPr="00277578">
        <w:rPr>
          <w:rFonts w:ascii="宋体" w:hAnsi="宋体" w:hint="eastAsia"/>
          <w:color w:val="000000" w:themeColor="text1"/>
          <w:szCs w:val="21"/>
        </w:rPr>
        <w:t>22</w:t>
      </w:r>
      <w:r w:rsidRPr="00277578">
        <w:rPr>
          <w:rFonts w:ascii="宋体" w:hAnsi="宋体" w:hint="eastAsia"/>
          <w:color w:val="000000" w:themeColor="text1"/>
          <w:szCs w:val="21"/>
        </w:rPr>
        <w:t>日和</w:t>
      </w:r>
      <w:r w:rsidRPr="00277578">
        <w:rPr>
          <w:rFonts w:ascii="宋体" w:hAnsi="宋体" w:hint="eastAsia"/>
          <w:color w:val="000000" w:themeColor="text1"/>
          <w:szCs w:val="21"/>
        </w:rPr>
        <w:t>2022</w:t>
      </w:r>
      <w:r w:rsidRPr="00277578">
        <w:rPr>
          <w:rFonts w:ascii="宋体" w:hAnsi="宋体" w:hint="eastAsia"/>
          <w:color w:val="000000" w:themeColor="text1"/>
          <w:szCs w:val="21"/>
        </w:rPr>
        <w:t>年</w:t>
      </w:r>
      <w:r w:rsidRPr="00277578">
        <w:rPr>
          <w:rFonts w:ascii="宋体" w:hAnsi="宋体" w:hint="eastAsia"/>
          <w:color w:val="000000" w:themeColor="text1"/>
          <w:szCs w:val="21"/>
        </w:rPr>
        <w:t>6</w:t>
      </w:r>
      <w:r w:rsidRPr="00277578">
        <w:rPr>
          <w:rFonts w:ascii="宋体" w:hAnsi="宋体" w:hint="eastAsia"/>
          <w:color w:val="000000" w:themeColor="text1"/>
          <w:szCs w:val="21"/>
        </w:rPr>
        <w:t>月</w:t>
      </w:r>
      <w:r w:rsidRPr="00277578">
        <w:rPr>
          <w:rFonts w:ascii="宋体" w:hAnsi="宋体" w:hint="eastAsia"/>
          <w:color w:val="000000" w:themeColor="text1"/>
          <w:szCs w:val="21"/>
        </w:rPr>
        <w:t>18</w:t>
      </w:r>
      <w:r w:rsidRPr="00277578">
        <w:rPr>
          <w:rFonts w:ascii="宋体" w:hAnsi="宋体" w:hint="eastAsia"/>
          <w:color w:val="000000" w:themeColor="text1"/>
          <w:szCs w:val="21"/>
        </w:rPr>
        <w:t>日发布的“软科中国大学专业排名”中连续两年被评为“</w:t>
      </w:r>
      <w:r w:rsidRPr="00277578">
        <w:rPr>
          <w:rFonts w:ascii="宋体" w:hAnsi="宋体" w:hint="eastAsia"/>
          <w:color w:val="000000" w:themeColor="text1"/>
          <w:szCs w:val="21"/>
        </w:rPr>
        <w:t>A+</w:t>
      </w:r>
      <w:r w:rsidRPr="00277578">
        <w:rPr>
          <w:rFonts w:ascii="宋体" w:hAnsi="宋体" w:hint="eastAsia"/>
          <w:color w:val="000000" w:themeColor="text1"/>
          <w:szCs w:val="21"/>
        </w:rPr>
        <w:t>”等级。学院连续承办三届“青岛国际标准化论坛”中“标准化人才培养与能力建设”分论坛，组织承办了“</w:t>
      </w:r>
      <w:r w:rsidRPr="00277578">
        <w:rPr>
          <w:rFonts w:ascii="宋体" w:hAnsi="宋体" w:hint="eastAsia"/>
          <w:color w:val="000000" w:themeColor="text1"/>
          <w:szCs w:val="21"/>
        </w:rPr>
        <w:t>IEC</w:t>
      </w:r>
      <w:r w:rsidRPr="00277578">
        <w:rPr>
          <w:rFonts w:ascii="宋体" w:hAnsi="宋体" w:hint="eastAsia"/>
          <w:color w:val="000000" w:themeColor="text1"/>
          <w:szCs w:val="21"/>
        </w:rPr>
        <w:t>国际人才培训”、“第二届全国标准化学科建设与专业人才培养研讨会”、“一带一路”标准化教育与研究大学联盟常务理事会（理事长单位）会议，与</w:t>
      </w:r>
      <w:r w:rsidRPr="00277578">
        <w:rPr>
          <w:rFonts w:ascii="宋体" w:hAnsi="宋体" w:hint="eastAsia"/>
          <w:color w:val="000000" w:themeColor="text1"/>
          <w:szCs w:val="21"/>
        </w:rPr>
        <w:t>ISO</w:t>
      </w:r>
      <w:r w:rsidRPr="00277578">
        <w:rPr>
          <w:rFonts w:ascii="宋体" w:hAnsi="宋体" w:hint="eastAsia"/>
          <w:color w:val="000000" w:themeColor="text1"/>
          <w:szCs w:val="21"/>
        </w:rPr>
        <w:t>、青岛市政府、山东大学共建“</w:t>
      </w:r>
      <w:r w:rsidRPr="00277578">
        <w:rPr>
          <w:rFonts w:ascii="宋体" w:hAnsi="宋体" w:hint="eastAsia"/>
          <w:color w:val="000000" w:themeColor="text1"/>
          <w:szCs w:val="21"/>
        </w:rPr>
        <w:t>ISO</w:t>
      </w:r>
      <w:r w:rsidRPr="00277578">
        <w:rPr>
          <w:rFonts w:ascii="宋体" w:hAnsi="宋体" w:hint="eastAsia"/>
          <w:color w:val="000000" w:themeColor="text1"/>
          <w:szCs w:val="21"/>
        </w:rPr>
        <w:t>国际标准化培训基地（青岛）”，与青岛市市场监管局共同组建“青岛市质量科学研究院”等等。</w:t>
      </w:r>
    </w:p>
    <w:p w:rsidR="00277578" w:rsidRPr="00277578" w:rsidRDefault="00277578" w:rsidP="00277578">
      <w:pPr>
        <w:tabs>
          <w:tab w:val="num" w:pos="720"/>
          <w:tab w:val="num" w:pos="1440"/>
        </w:tabs>
        <w:spacing w:line="300" w:lineRule="auto"/>
        <w:ind w:firstLineChars="200" w:firstLine="640"/>
        <w:rPr>
          <w:rFonts w:ascii="宋体" w:hAnsi="宋体"/>
          <w:color w:val="000000" w:themeColor="text1"/>
          <w:szCs w:val="21"/>
        </w:rPr>
      </w:pPr>
      <w:r w:rsidRPr="00277578">
        <w:rPr>
          <w:rFonts w:ascii="宋体" w:hAnsi="宋体" w:hint="eastAsia"/>
          <w:color w:val="000000" w:themeColor="text1"/>
          <w:szCs w:val="21"/>
        </w:rPr>
        <w:t>2021</w:t>
      </w:r>
      <w:r w:rsidRPr="00277578">
        <w:rPr>
          <w:rFonts w:ascii="宋体" w:hAnsi="宋体" w:hint="eastAsia"/>
          <w:color w:val="000000" w:themeColor="text1"/>
          <w:szCs w:val="21"/>
        </w:rPr>
        <w:t>年</w:t>
      </w:r>
      <w:r w:rsidRPr="00277578">
        <w:rPr>
          <w:rFonts w:ascii="宋体" w:hAnsi="宋体" w:hint="eastAsia"/>
          <w:color w:val="000000" w:themeColor="text1"/>
          <w:szCs w:val="21"/>
        </w:rPr>
        <w:t>10</w:t>
      </w:r>
      <w:r w:rsidRPr="00277578">
        <w:rPr>
          <w:rFonts w:ascii="宋体" w:hAnsi="宋体" w:hint="eastAsia"/>
          <w:color w:val="000000" w:themeColor="text1"/>
          <w:szCs w:val="21"/>
        </w:rPr>
        <w:t>月</w:t>
      </w:r>
      <w:r w:rsidRPr="00277578">
        <w:rPr>
          <w:rFonts w:ascii="宋体" w:hAnsi="宋体" w:hint="eastAsia"/>
          <w:color w:val="000000" w:themeColor="text1"/>
          <w:szCs w:val="21"/>
        </w:rPr>
        <w:t>10</w:t>
      </w:r>
      <w:r w:rsidRPr="00277578">
        <w:rPr>
          <w:rFonts w:ascii="宋体" w:hAnsi="宋体" w:hint="eastAsia"/>
          <w:color w:val="000000" w:themeColor="text1"/>
          <w:szCs w:val="21"/>
        </w:rPr>
        <w:t>日，中共中央国务院印发了《国家标准化发展纲要》，作为指导中国标准化中长期发展的纲领性文件，《纲要》指出，标准化在推进全球治理体系和治理能力现代化中发</w:t>
      </w:r>
      <w:r w:rsidRPr="00277578">
        <w:rPr>
          <w:rFonts w:ascii="宋体" w:hAnsi="宋体" w:hint="eastAsia"/>
          <w:color w:val="000000" w:themeColor="text1"/>
          <w:szCs w:val="21"/>
        </w:rPr>
        <w:lastRenderedPageBreak/>
        <w:t>挥着基础性、引领性作用，从而确定了中国标准化的新方位。标准化发展的趋势已经从产品标准化向社会治理领域拓展，标准不仅是为了解决产品质量问题，而是向解决社会治理问题、政府管理问题等转变。</w:t>
      </w:r>
    </w:p>
    <w:p w:rsidR="00277578" w:rsidRPr="00277578" w:rsidRDefault="00277578" w:rsidP="00277578">
      <w:pPr>
        <w:spacing w:line="560" w:lineRule="exact"/>
        <w:ind w:firstLineChars="200" w:firstLine="640"/>
        <w:rPr>
          <w:rFonts w:ascii="宋体" w:hAnsi="宋体"/>
          <w:color w:val="000000" w:themeColor="text1"/>
          <w:szCs w:val="21"/>
        </w:rPr>
      </w:pPr>
      <w:r w:rsidRPr="00277578">
        <w:rPr>
          <w:rFonts w:ascii="宋体" w:hAnsi="宋体" w:hint="eastAsia"/>
          <w:color w:val="000000" w:themeColor="text1"/>
          <w:szCs w:val="21"/>
        </w:rPr>
        <w:t>社会治理的质量管理方式是“标准</w:t>
      </w:r>
      <w:r w:rsidRPr="00277578">
        <w:rPr>
          <w:rFonts w:ascii="宋体" w:hAnsi="宋体"/>
          <w:color w:val="000000" w:themeColor="text1"/>
          <w:szCs w:val="21"/>
        </w:rPr>
        <w:t>+</w:t>
      </w:r>
      <w:r w:rsidRPr="00277578">
        <w:rPr>
          <w:rFonts w:ascii="宋体" w:hAnsi="宋体" w:hint="eastAsia"/>
          <w:color w:val="000000" w:themeColor="text1"/>
          <w:szCs w:val="21"/>
        </w:rPr>
        <w:t>法治”，标准可以很好地弥补法律法规的不足。“标准化与社会治理”微专业属于应用导向的新兴交叉专业，涉及管理学、经济学、法学等相关学科领域知识，通过《标准化与治理》《卓越质量管理》《标准化技术与方法》《计量与合格评定》《国际标准化》《标准化法律法规与</w:t>
      </w:r>
      <w:r w:rsidRPr="00277578">
        <w:rPr>
          <w:rFonts w:ascii="宋体" w:hAnsi="宋体" w:hint="eastAsia"/>
          <w:color w:val="000000" w:themeColor="text1"/>
          <w:szCs w:val="21"/>
        </w:rPr>
        <w:t>W</w:t>
      </w:r>
      <w:r w:rsidRPr="00277578">
        <w:rPr>
          <w:rFonts w:ascii="宋体" w:hAnsi="宋体"/>
          <w:color w:val="000000" w:themeColor="text1"/>
          <w:szCs w:val="21"/>
        </w:rPr>
        <w:t>TO</w:t>
      </w:r>
      <w:r w:rsidRPr="00277578">
        <w:rPr>
          <w:rFonts w:ascii="宋体" w:hAnsi="宋体"/>
          <w:color w:val="000000" w:themeColor="text1"/>
          <w:szCs w:val="21"/>
        </w:rPr>
        <w:t>规则</w:t>
      </w:r>
      <w:r w:rsidRPr="00277578">
        <w:rPr>
          <w:rFonts w:ascii="宋体" w:hAnsi="宋体" w:hint="eastAsia"/>
          <w:color w:val="000000" w:themeColor="text1"/>
          <w:szCs w:val="21"/>
        </w:rPr>
        <w:t>》《标准化与社会治理实践环节》</w:t>
      </w:r>
      <w:r w:rsidRPr="00277578">
        <w:rPr>
          <w:rFonts w:ascii="宋体" w:hAnsi="宋体" w:hint="eastAsia"/>
          <w:color w:val="000000" w:themeColor="text1"/>
          <w:szCs w:val="21"/>
        </w:rPr>
        <w:t>7</w:t>
      </w:r>
      <w:r w:rsidRPr="00277578">
        <w:rPr>
          <w:rFonts w:ascii="宋体" w:hAnsi="宋体" w:hint="eastAsia"/>
          <w:color w:val="000000" w:themeColor="text1"/>
          <w:szCs w:val="21"/>
        </w:rPr>
        <w:t>门课程的学习，帮助学生快速构建起较为完整的社会治理领域标准化核心素养和技能，弥补了大学专业设置与企业用人需求之间的匹配问题。</w:t>
      </w:r>
    </w:p>
    <w:p w:rsidR="00277578" w:rsidRPr="00277578" w:rsidRDefault="00277578" w:rsidP="00277578">
      <w:pPr>
        <w:spacing w:line="560" w:lineRule="exact"/>
        <w:ind w:firstLineChars="200" w:firstLine="640"/>
        <w:rPr>
          <w:rFonts w:ascii="宋体" w:hAnsi="宋体"/>
          <w:szCs w:val="21"/>
        </w:rPr>
      </w:pPr>
      <w:r w:rsidRPr="00277578">
        <w:rPr>
          <w:rFonts w:ascii="宋体" w:hAnsi="宋体" w:hint="eastAsia"/>
          <w:szCs w:val="21"/>
        </w:rPr>
        <w:t>青岛大学“标准化与社会治理”微专业将“</w:t>
      </w:r>
      <w:r w:rsidRPr="00277578">
        <w:rPr>
          <w:rFonts w:ascii="宋体" w:hAnsi="宋体" w:hint="eastAsia"/>
          <w:szCs w:val="21"/>
        </w:rPr>
        <w:t>1+X</w:t>
      </w:r>
      <w:r w:rsidRPr="00277578">
        <w:rPr>
          <w:rFonts w:ascii="宋体" w:hAnsi="宋体" w:hint="eastAsia"/>
          <w:szCs w:val="21"/>
        </w:rPr>
        <w:t>”标准编审职业技能培训（初级）全部课程（包括《标准化基础》《标准化方法》《标准化实务》）的相关知识技能融入到微专业课程中，学生在取得微专业证书的同时可以参加由教育部和国家市场监管总局授权组织的标准编审职业技能全国统一考试，通过后可获得经教育部备案的《“</w:t>
      </w:r>
      <w:r w:rsidRPr="00277578">
        <w:rPr>
          <w:rFonts w:ascii="宋体" w:hAnsi="宋体" w:hint="eastAsia"/>
          <w:szCs w:val="21"/>
        </w:rPr>
        <w:t>1+X</w:t>
      </w:r>
      <w:r w:rsidRPr="00277578">
        <w:rPr>
          <w:rFonts w:ascii="宋体" w:hAnsi="宋体" w:hint="eastAsia"/>
          <w:szCs w:val="21"/>
        </w:rPr>
        <w:t>”标准编审职业技能等级证书（初级）》，该证书是标准化领域现行唯一的国家级职业技能等级证书，也是标准化领域工作人员持证上岗资格证书，是标准化人才库入选的必备条件。</w:t>
      </w:r>
    </w:p>
    <w:p w:rsidR="0060271F" w:rsidRPr="00277578" w:rsidRDefault="0060271F" w:rsidP="00424DFF">
      <w:pPr>
        <w:spacing w:line="560" w:lineRule="exact"/>
        <w:ind w:firstLineChars="200" w:firstLine="643"/>
        <w:rPr>
          <w:rFonts w:ascii="宋体" w:hAnsi="宋体"/>
          <w:b/>
          <w:szCs w:val="21"/>
        </w:rPr>
      </w:pPr>
      <w:r w:rsidRPr="00277578">
        <w:rPr>
          <w:rFonts w:ascii="宋体" w:hAnsi="宋体" w:hint="eastAsia"/>
          <w:b/>
          <w:szCs w:val="21"/>
        </w:rPr>
        <w:t>二、报名时间</w:t>
      </w:r>
      <w:r w:rsidR="00886FB9" w:rsidRPr="00277578">
        <w:rPr>
          <w:rFonts w:ascii="宋体" w:hAnsi="宋体" w:hint="eastAsia"/>
          <w:b/>
          <w:szCs w:val="21"/>
        </w:rPr>
        <w:t>及开班要求</w:t>
      </w:r>
    </w:p>
    <w:p w:rsidR="00886FB9" w:rsidRPr="00277578" w:rsidRDefault="001A6145" w:rsidP="00424DFF">
      <w:pPr>
        <w:spacing w:line="560" w:lineRule="exact"/>
        <w:ind w:firstLineChars="200" w:firstLine="640"/>
        <w:rPr>
          <w:rFonts w:ascii="宋体" w:hAnsi="宋体"/>
          <w:szCs w:val="21"/>
        </w:rPr>
      </w:pPr>
      <w:r w:rsidRPr="00277578">
        <w:rPr>
          <w:rFonts w:ascii="宋体" w:hAnsi="宋体"/>
          <w:szCs w:val="21"/>
        </w:rPr>
        <w:t>每学年秋季学</w:t>
      </w:r>
      <w:r w:rsidR="00886FB9" w:rsidRPr="00277578">
        <w:rPr>
          <w:rFonts w:ascii="宋体" w:hAnsi="宋体"/>
          <w:szCs w:val="21"/>
        </w:rPr>
        <w:t>期</w:t>
      </w:r>
      <w:r w:rsidR="00CC31B2" w:rsidRPr="00277578">
        <w:rPr>
          <w:rFonts w:ascii="宋体" w:hAnsi="宋体"/>
          <w:szCs w:val="21"/>
        </w:rPr>
        <w:t>初（按照学校规定报名时间）</w:t>
      </w:r>
      <w:r w:rsidR="00886FB9" w:rsidRPr="00277578">
        <w:rPr>
          <w:rFonts w:ascii="宋体" w:hAnsi="宋体"/>
          <w:szCs w:val="21"/>
        </w:rPr>
        <w:t>，原则上低于</w:t>
      </w:r>
      <w:r w:rsidR="00886FB9" w:rsidRPr="00277578">
        <w:rPr>
          <w:rFonts w:ascii="宋体" w:hAnsi="宋体" w:hint="eastAsia"/>
          <w:szCs w:val="21"/>
        </w:rPr>
        <w:lastRenderedPageBreak/>
        <w:t>2</w:t>
      </w:r>
      <w:r w:rsidR="00886FB9" w:rsidRPr="00277578">
        <w:rPr>
          <w:rFonts w:ascii="宋体" w:hAnsi="宋体"/>
          <w:szCs w:val="21"/>
        </w:rPr>
        <w:t>0</w:t>
      </w:r>
      <w:r w:rsidR="00886FB9" w:rsidRPr="00277578">
        <w:rPr>
          <w:rFonts w:ascii="宋体" w:hAnsi="宋体"/>
          <w:szCs w:val="21"/>
        </w:rPr>
        <w:t>人不开班</w:t>
      </w:r>
      <w:r w:rsidRPr="00277578">
        <w:rPr>
          <w:rFonts w:ascii="宋体" w:hAnsi="宋体"/>
          <w:szCs w:val="21"/>
        </w:rPr>
        <w:t>。</w:t>
      </w:r>
    </w:p>
    <w:p w:rsidR="0060271F" w:rsidRPr="00277578" w:rsidRDefault="0060271F" w:rsidP="00424DFF">
      <w:pPr>
        <w:spacing w:line="560" w:lineRule="exact"/>
        <w:ind w:firstLineChars="200" w:firstLine="643"/>
        <w:rPr>
          <w:rFonts w:ascii="宋体" w:hAnsi="宋体"/>
          <w:b/>
          <w:szCs w:val="21"/>
        </w:rPr>
      </w:pPr>
      <w:r w:rsidRPr="00277578">
        <w:rPr>
          <w:rFonts w:ascii="宋体" w:hAnsi="宋体"/>
          <w:b/>
          <w:szCs w:val="21"/>
        </w:rPr>
        <w:t>三、报名学生范围</w:t>
      </w:r>
    </w:p>
    <w:p w:rsidR="0060271F" w:rsidRPr="00277578" w:rsidRDefault="0060271F" w:rsidP="00424DFF">
      <w:pPr>
        <w:spacing w:line="560" w:lineRule="exact"/>
        <w:ind w:firstLineChars="200" w:firstLine="640"/>
        <w:rPr>
          <w:rFonts w:ascii="宋体" w:hAnsi="宋体"/>
          <w:szCs w:val="21"/>
        </w:rPr>
      </w:pPr>
      <w:r w:rsidRPr="00277578">
        <w:rPr>
          <w:rFonts w:ascii="宋体" w:hAnsi="宋体" w:hint="eastAsia"/>
          <w:szCs w:val="21"/>
        </w:rPr>
        <w:t>面向</w:t>
      </w:r>
      <w:r w:rsidR="006F6957">
        <w:rPr>
          <w:rFonts w:ascii="宋体" w:hAnsi="宋体" w:hint="eastAsia"/>
          <w:szCs w:val="21"/>
        </w:rPr>
        <w:t>我校在读的大二、大三</w:t>
      </w:r>
      <w:r w:rsidR="000079AA" w:rsidRPr="00277578">
        <w:rPr>
          <w:rFonts w:ascii="宋体" w:hAnsi="宋体" w:hint="eastAsia"/>
          <w:szCs w:val="21"/>
        </w:rPr>
        <w:t>普通全日制本科生</w:t>
      </w:r>
      <w:r w:rsidR="00424DFF" w:rsidRPr="00277578">
        <w:rPr>
          <w:rFonts w:ascii="宋体" w:hAnsi="宋体" w:hint="eastAsia"/>
          <w:szCs w:val="21"/>
        </w:rPr>
        <w:t>。</w:t>
      </w:r>
    </w:p>
    <w:p w:rsidR="0060271F" w:rsidRPr="00277578" w:rsidRDefault="0060271F" w:rsidP="00424DFF">
      <w:pPr>
        <w:spacing w:line="560" w:lineRule="exact"/>
        <w:ind w:firstLineChars="200" w:firstLine="643"/>
        <w:rPr>
          <w:rFonts w:ascii="宋体" w:hAnsi="宋体"/>
          <w:szCs w:val="21"/>
        </w:rPr>
      </w:pPr>
      <w:r w:rsidRPr="00277578">
        <w:rPr>
          <w:rFonts w:ascii="宋体" w:hAnsi="宋体"/>
          <w:b/>
          <w:szCs w:val="21"/>
        </w:rPr>
        <w:t>四、</w:t>
      </w:r>
      <w:r w:rsidR="00886FB9" w:rsidRPr="00277578">
        <w:rPr>
          <w:rFonts w:ascii="宋体" w:hAnsi="宋体"/>
          <w:b/>
          <w:szCs w:val="21"/>
        </w:rPr>
        <w:t>报名</w:t>
      </w:r>
      <w:r w:rsidRPr="00277578">
        <w:rPr>
          <w:rFonts w:ascii="宋体" w:hAnsi="宋体"/>
          <w:b/>
          <w:szCs w:val="21"/>
        </w:rPr>
        <w:t>条件</w:t>
      </w:r>
    </w:p>
    <w:p w:rsidR="00BE5723" w:rsidRPr="00277578" w:rsidRDefault="0060271F" w:rsidP="00424DFF">
      <w:pPr>
        <w:spacing w:line="560" w:lineRule="exact"/>
        <w:ind w:firstLineChars="200" w:firstLine="640"/>
        <w:rPr>
          <w:rFonts w:ascii="宋体" w:hAnsi="宋体"/>
          <w:szCs w:val="21"/>
        </w:rPr>
      </w:pPr>
      <w:r w:rsidRPr="00277578">
        <w:rPr>
          <w:rFonts w:ascii="宋体" w:hAnsi="宋体" w:hint="eastAsia"/>
          <w:szCs w:val="21"/>
        </w:rPr>
        <w:t>学生主修专业</w:t>
      </w:r>
      <w:r w:rsidR="00886FB9" w:rsidRPr="00277578">
        <w:rPr>
          <w:rFonts w:ascii="宋体" w:hAnsi="宋体" w:hint="eastAsia"/>
          <w:szCs w:val="21"/>
        </w:rPr>
        <w:t>已修读的考试课成绩合格</w:t>
      </w:r>
      <w:r w:rsidR="00424DFF" w:rsidRPr="00277578">
        <w:rPr>
          <w:rFonts w:ascii="宋体" w:hAnsi="宋体" w:hint="eastAsia"/>
          <w:szCs w:val="21"/>
        </w:rPr>
        <w:t>。</w:t>
      </w:r>
    </w:p>
    <w:p w:rsidR="0060271F" w:rsidRPr="00277578" w:rsidRDefault="0060271F" w:rsidP="00424DFF">
      <w:pPr>
        <w:spacing w:line="560" w:lineRule="exact"/>
        <w:ind w:firstLineChars="200" w:firstLine="643"/>
        <w:rPr>
          <w:rFonts w:ascii="宋体" w:hAnsi="宋体"/>
          <w:b/>
          <w:szCs w:val="21"/>
        </w:rPr>
      </w:pPr>
      <w:r w:rsidRPr="00277578">
        <w:rPr>
          <w:rFonts w:ascii="宋体" w:hAnsi="宋体"/>
          <w:b/>
          <w:szCs w:val="21"/>
        </w:rPr>
        <w:t>五、</w:t>
      </w:r>
      <w:r w:rsidR="00886FB9" w:rsidRPr="00277578">
        <w:rPr>
          <w:rFonts w:ascii="宋体" w:hAnsi="宋体"/>
          <w:b/>
          <w:szCs w:val="21"/>
        </w:rPr>
        <w:t>证书</w:t>
      </w:r>
    </w:p>
    <w:p w:rsidR="00886FB9" w:rsidRPr="00277578" w:rsidRDefault="00886FB9" w:rsidP="00424DFF">
      <w:pPr>
        <w:spacing w:line="560" w:lineRule="exact"/>
        <w:ind w:firstLineChars="200" w:firstLine="640"/>
        <w:rPr>
          <w:rFonts w:ascii="宋体" w:hAnsi="宋体"/>
          <w:szCs w:val="21"/>
        </w:rPr>
      </w:pPr>
      <w:r w:rsidRPr="00277578">
        <w:rPr>
          <w:rFonts w:ascii="宋体" w:hAnsi="宋体" w:hint="eastAsia"/>
          <w:szCs w:val="21"/>
        </w:rPr>
        <w:t>1</w:t>
      </w:r>
      <w:r w:rsidR="004F6736" w:rsidRPr="00277578">
        <w:rPr>
          <w:rFonts w:ascii="宋体" w:hAnsi="宋体" w:hint="eastAsia"/>
          <w:szCs w:val="21"/>
        </w:rPr>
        <w:t>.</w:t>
      </w:r>
      <w:r w:rsidRPr="00277578">
        <w:rPr>
          <w:rFonts w:ascii="宋体" w:hAnsi="宋体" w:hint="eastAsia"/>
          <w:szCs w:val="21"/>
        </w:rPr>
        <w:t>学制</w:t>
      </w:r>
      <w:r w:rsidR="0060271F" w:rsidRPr="00277578">
        <w:rPr>
          <w:rFonts w:ascii="宋体" w:hAnsi="宋体" w:hint="eastAsia"/>
          <w:szCs w:val="21"/>
        </w:rPr>
        <w:t>2</w:t>
      </w:r>
      <w:r w:rsidR="0060271F" w:rsidRPr="00277578">
        <w:rPr>
          <w:rFonts w:ascii="宋体" w:hAnsi="宋体" w:hint="eastAsia"/>
          <w:szCs w:val="21"/>
        </w:rPr>
        <w:t>年</w:t>
      </w:r>
      <w:r w:rsidRPr="00277578">
        <w:rPr>
          <w:rFonts w:ascii="宋体" w:hAnsi="宋体" w:hint="eastAsia"/>
          <w:szCs w:val="21"/>
        </w:rPr>
        <w:t>。</w:t>
      </w:r>
    </w:p>
    <w:p w:rsidR="00886FB9" w:rsidRPr="00277578" w:rsidRDefault="00886FB9" w:rsidP="00424DFF">
      <w:pPr>
        <w:spacing w:line="560" w:lineRule="exact"/>
        <w:ind w:firstLineChars="200" w:firstLine="640"/>
        <w:rPr>
          <w:rFonts w:ascii="宋体" w:hAnsi="宋体"/>
          <w:szCs w:val="21"/>
        </w:rPr>
      </w:pPr>
      <w:r w:rsidRPr="00277578">
        <w:rPr>
          <w:rFonts w:ascii="宋体" w:hAnsi="宋体" w:hint="eastAsia"/>
          <w:szCs w:val="21"/>
        </w:rPr>
        <w:t>2</w:t>
      </w:r>
      <w:r w:rsidR="004F6736" w:rsidRPr="00277578">
        <w:rPr>
          <w:rFonts w:ascii="宋体" w:hAnsi="宋体" w:hint="eastAsia"/>
          <w:szCs w:val="21"/>
        </w:rPr>
        <w:t>.</w:t>
      </w:r>
      <w:r w:rsidR="0074478A" w:rsidRPr="00277578">
        <w:rPr>
          <w:rFonts w:ascii="宋体" w:hAnsi="宋体" w:hint="eastAsia"/>
          <w:szCs w:val="21"/>
        </w:rPr>
        <w:t>完成教学计划全部课程（</w:t>
      </w:r>
      <w:r w:rsidRPr="00277578">
        <w:rPr>
          <w:rFonts w:ascii="宋体" w:hAnsi="宋体" w:hint="eastAsia"/>
          <w:szCs w:val="21"/>
        </w:rPr>
        <w:t>1</w:t>
      </w:r>
      <w:r w:rsidRPr="00277578">
        <w:rPr>
          <w:rFonts w:ascii="宋体" w:hAnsi="宋体"/>
          <w:szCs w:val="21"/>
        </w:rPr>
        <w:t>9</w:t>
      </w:r>
      <w:r w:rsidRPr="00277578">
        <w:rPr>
          <w:rFonts w:ascii="宋体" w:hAnsi="宋体" w:hint="eastAsia"/>
          <w:szCs w:val="21"/>
        </w:rPr>
        <w:t>学分</w:t>
      </w:r>
      <w:r w:rsidR="0074478A" w:rsidRPr="00277578">
        <w:rPr>
          <w:rFonts w:ascii="宋体" w:hAnsi="宋体" w:hint="eastAsia"/>
          <w:szCs w:val="21"/>
        </w:rPr>
        <w:t>）</w:t>
      </w:r>
      <w:r w:rsidRPr="00277578">
        <w:rPr>
          <w:rFonts w:ascii="宋体" w:hAnsi="宋体" w:hint="eastAsia"/>
          <w:szCs w:val="21"/>
        </w:rPr>
        <w:t>，发微专业证书。</w:t>
      </w:r>
    </w:p>
    <w:p w:rsidR="00886FB9" w:rsidRPr="00277578" w:rsidRDefault="00886FB9" w:rsidP="00424DFF">
      <w:pPr>
        <w:spacing w:line="560" w:lineRule="exact"/>
        <w:ind w:firstLineChars="200" w:firstLine="640"/>
        <w:rPr>
          <w:rFonts w:ascii="宋体" w:hAnsi="宋体"/>
          <w:szCs w:val="21"/>
        </w:rPr>
      </w:pPr>
      <w:r w:rsidRPr="00277578">
        <w:rPr>
          <w:rFonts w:ascii="宋体" w:hAnsi="宋体" w:hint="eastAsia"/>
          <w:szCs w:val="21"/>
        </w:rPr>
        <w:t>3</w:t>
      </w:r>
      <w:r w:rsidR="004F6736" w:rsidRPr="00277578">
        <w:rPr>
          <w:rFonts w:ascii="宋体" w:hAnsi="宋体" w:hint="eastAsia"/>
          <w:szCs w:val="21"/>
        </w:rPr>
        <w:t>.</w:t>
      </w:r>
      <w:r w:rsidR="001C1D85" w:rsidRPr="00277578">
        <w:rPr>
          <w:rFonts w:ascii="宋体" w:hAnsi="宋体" w:hint="eastAsia"/>
          <w:szCs w:val="21"/>
        </w:rPr>
        <w:t>获得微专业结业证书的</w:t>
      </w:r>
      <w:r w:rsidRPr="00277578">
        <w:rPr>
          <w:rFonts w:ascii="宋体" w:hAnsi="宋体" w:hint="eastAsia"/>
          <w:szCs w:val="21"/>
        </w:rPr>
        <w:t>学生在校期间可报名参加教育部《“</w:t>
      </w:r>
      <w:r w:rsidRPr="00277578">
        <w:rPr>
          <w:rFonts w:ascii="宋体" w:hAnsi="宋体" w:hint="eastAsia"/>
          <w:szCs w:val="21"/>
        </w:rPr>
        <w:t>1+X</w:t>
      </w:r>
      <w:r w:rsidRPr="00277578">
        <w:rPr>
          <w:rFonts w:ascii="宋体" w:hAnsi="宋体" w:hint="eastAsia"/>
          <w:szCs w:val="21"/>
        </w:rPr>
        <w:t>”标准编审职业技能等级证书（初级）》</w:t>
      </w:r>
      <w:r w:rsidR="004A7AE1" w:rsidRPr="00277578">
        <w:rPr>
          <w:rFonts w:ascii="宋体" w:hAnsi="宋体" w:hint="eastAsia"/>
          <w:szCs w:val="21"/>
        </w:rPr>
        <w:t>考试</w:t>
      </w:r>
      <w:r w:rsidRPr="00277578">
        <w:rPr>
          <w:rFonts w:ascii="宋体" w:hAnsi="宋体" w:hint="eastAsia"/>
          <w:szCs w:val="21"/>
        </w:rPr>
        <w:t>（考试每月举办</w:t>
      </w:r>
      <w:r w:rsidRPr="00277578">
        <w:rPr>
          <w:rFonts w:ascii="宋体" w:hAnsi="宋体" w:hint="eastAsia"/>
          <w:szCs w:val="21"/>
        </w:rPr>
        <w:t>1</w:t>
      </w:r>
      <w:r w:rsidRPr="00277578">
        <w:rPr>
          <w:rFonts w:ascii="宋体" w:hAnsi="宋体" w:hint="eastAsia"/>
          <w:szCs w:val="21"/>
        </w:rPr>
        <w:t>次），</w:t>
      </w:r>
      <w:r w:rsidR="004A7AE1" w:rsidRPr="00277578">
        <w:rPr>
          <w:rFonts w:ascii="宋体" w:hAnsi="宋体" w:hint="eastAsia"/>
          <w:szCs w:val="21"/>
        </w:rPr>
        <w:t>每次考试</w:t>
      </w:r>
      <w:r w:rsidRPr="00277578">
        <w:rPr>
          <w:rFonts w:ascii="宋体" w:hAnsi="宋体" w:hint="eastAsia"/>
          <w:szCs w:val="21"/>
        </w:rPr>
        <w:t>仅需支付费用</w:t>
      </w:r>
      <w:r w:rsidRPr="00277578">
        <w:rPr>
          <w:rFonts w:ascii="宋体" w:hAnsi="宋体" w:hint="eastAsia"/>
          <w:szCs w:val="21"/>
        </w:rPr>
        <w:t>600</w:t>
      </w:r>
      <w:r w:rsidRPr="00277578">
        <w:rPr>
          <w:rFonts w:ascii="宋体" w:hAnsi="宋体" w:hint="eastAsia"/>
          <w:szCs w:val="21"/>
        </w:rPr>
        <w:t>元（</w:t>
      </w:r>
      <w:r w:rsidRPr="00277578">
        <w:rPr>
          <w:rFonts w:ascii="宋体" w:hAnsi="宋体" w:hint="eastAsia"/>
          <w:szCs w:val="21"/>
        </w:rPr>
        <w:t>2022</w:t>
      </w:r>
      <w:r w:rsidRPr="00277578">
        <w:rPr>
          <w:rFonts w:ascii="宋体" w:hAnsi="宋体" w:hint="eastAsia"/>
          <w:szCs w:val="21"/>
        </w:rPr>
        <w:t>年市场价为</w:t>
      </w:r>
      <w:r w:rsidRPr="00277578">
        <w:rPr>
          <w:rFonts w:ascii="宋体" w:hAnsi="宋体" w:hint="eastAsia"/>
          <w:szCs w:val="21"/>
        </w:rPr>
        <w:t>2400</w:t>
      </w:r>
      <w:r w:rsidR="00C807BF" w:rsidRPr="00277578">
        <w:rPr>
          <w:rFonts w:ascii="宋体" w:hAnsi="宋体" w:hint="eastAsia"/>
          <w:szCs w:val="21"/>
        </w:rPr>
        <w:t>元）。考试通过后，可</w:t>
      </w:r>
      <w:r w:rsidRPr="00277578">
        <w:rPr>
          <w:rFonts w:ascii="宋体" w:hAnsi="宋体" w:hint="eastAsia"/>
          <w:szCs w:val="21"/>
        </w:rPr>
        <w:t>获得《“</w:t>
      </w:r>
      <w:r w:rsidRPr="00277578">
        <w:rPr>
          <w:rFonts w:ascii="宋体" w:hAnsi="宋体" w:hint="eastAsia"/>
          <w:szCs w:val="21"/>
        </w:rPr>
        <w:t>1+X</w:t>
      </w:r>
      <w:r w:rsidRPr="00277578">
        <w:rPr>
          <w:rFonts w:ascii="宋体" w:hAnsi="宋体" w:hint="eastAsia"/>
          <w:szCs w:val="21"/>
        </w:rPr>
        <w:t>”标准编审职业技能等级证书（初级）》。</w:t>
      </w:r>
    </w:p>
    <w:p w:rsidR="0060271F" w:rsidRPr="00277578" w:rsidRDefault="0060271F" w:rsidP="00424DFF">
      <w:pPr>
        <w:spacing w:line="560" w:lineRule="exact"/>
        <w:ind w:firstLineChars="200" w:firstLine="643"/>
        <w:rPr>
          <w:rFonts w:ascii="宋体" w:hAnsi="宋体"/>
          <w:b/>
          <w:szCs w:val="21"/>
        </w:rPr>
      </w:pPr>
      <w:r w:rsidRPr="00277578">
        <w:rPr>
          <w:rFonts w:ascii="宋体" w:hAnsi="宋体"/>
          <w:b/>
          <w:szCs w:val="21"/>
        </w:rPr>
        <w:t>六、上课地点</w:t>
      </w:r>
    </w:p>
    <w:p w:rsidR="0060271F" w:rsidRPr="00277578" w:rsidRDefault="0060271F" w:rsidP="00424DFF">
      <w:pPr>
        <w:spacing w:line="560" w:lineRule="exact"/>
        <w:ind w:firstLineChars="200" w:firstLine="640"/>
        <w:rPr>
          <w:rFonts w:ascii="宋体" w:hAnsi="宋体"/>
          <w:szCs w:val="21"/>
        </w:rPr>
      </w:pPr>
      <w:r w:rsidRPr="00277578">
        <w:rPr>
          <w:rFonts w:ascii="宋体" w:hAnsi="宋体"/>
          <w:szCs w:val="21"/>
        </w:rPr>
        <w:t>青岛大学浮山校区</w:t>
      </w:r>
      <w:r w:rsidR="00CC31B2" w:rsidRPr="00277578">
        <w:rPr>
          <w:rFonts w:ascii="宋体" w:hAnsi="宋体" w:hint="eastAsia"/>
          <w:szCs w:val="21"/>
        </w:rPr>
        <w:t>X</w:t>
      </w:r>
      <w:r w:rsidR="00CC31B2" w:rsidRPr="00277578">
        <w:rPr>
          <w:rFonts w:ascii="宋体" w:hAnsi="宋体"/>
          <w:szCs w:val="21"/>
        </w:rPr>
        <w:t>X</w:t>
      </w:r>
      <w:r w:rsidR="00CC31B2" w:rsidRPr="00277578">
        <w:rPr>
          <w:rFonts w:ascii="宋体" w:hAnsi="宋体"/>
          <w:szCs w:val="21"/>
        </w:rPr>
        <w:t>教室</w:t>
      </w:r>
    </w:p>
    <w:p w:rsidR="0060271F" w:rsidRPr="00277578" w:rsidRDefault="0060271F" w:rsidP="00424DFF">
      <w:pPr>
        <w:spacing w:line="560" w:lineRule="exact"/>
        <w:ind w:firstLineChars="200" w:firstLine="643"/>
        <w:rPr>
          <w:rFonts w:ascii="宋体" w:hAnsi="宋体"/>
          <w:b/>
          <w:szCs w:val="21"/>
        </w:rPr>
      </w:pPr>
      <w:r w:rsidRPr="00277578">
        <w:rPr>
          <w:rFonts w:ascii="宋体" w:hAnsi="宋体"/>
          <w:b/>
          <w:szCs w:val="21"/>
        </w:rPr>
        <w:t>七、联系方式</w:t>
      </w:r>
    </w:p>
    <w:p w:rsidR="0060271F" w:rsidRPr="00277578" w:rsidRDefault="0060271F" w:rsidP="00424DFF">
      <w:pPr>
        <w:spacing w:line="560" w:lineRule="exact"/>
        <w:ind w:firstLineChars="200" w:firstLine="640"/>
        <w:rPr>
          <w:rFonts w:ascii="宋体" w:hAnsi="宋体"/>
          <w:szCs w:val="21"/>
        </w:rPr>
      </w:pPr>
      <w:r w:rsidRPr="00277578">
        <w:rPr>
          <w:rFonts w:ascii="宋体" w:hAnsi="宋体"/>
          <w:szCs w:val="21"/>
        </w:rPr>
        <w:t>联系人：刘琳</w:t>
      </w:r>
    </w:p>
    <w:p w:rsidR="0060271F" w:rsidRPr="00277578" w:rsidRDefault="0060271F" w:rsidP="00424DFF">
      <w:pPr>
        <w:spacing w:line="560" w:lineRule="exact"/>
        <w:ind w:firstLineChars="200" w:firstLine="640"/>
        <w:rPr>
          <w:rFonts w:ascii="宋体" w:hAnsi="宋体"/>
          <w:szCs w:val="21"/>
        </w:rPr>
      </w:pPr>
      <w:r w:rsidRPr="00277578">
        <w:rPr>
          <w:rFonts w:ascii="宋体" w:hAnsi="宋体"/>
          <w:szCs w:val="21"/>
        </w:rPr>
        <w:t>电话：</w:t>
      </w:r>
      <w:r w:rsidR="00CB156A" w:rsidRPr="00277578">
        <w:rPr>
          <w:rFonts w:ascii="宋体" w:hAnsi="宋体" w:hint="eastAsia"/>
          <w:szCs w:val="21"/>
        </w:rPr>
        <w:t>0</w:t>
      </w:r>
      <w:r w:rsidR="009E0CE3" w:rsidRPr="00277578">
        <w:rPr>
          <w:rFonts w:ascii="宋体" w:hAnsi="宋体"/>
          <w:szCs w:val="21"/>
        </w:rPr>
        <w:t>532-859</w:t>
      </w:r>
      <w:r w:rsidR="00893042" w:rsidRPr="00277578">
        <w:rPr>
          <w:rFonts w:ascii="宋体" w:hAnsi="宋体"/>
          <w:szCs w:val="21"/>
        </w:rPr>
        <w:t>55527</w:t>
      </w:r>
    </w:p>
    <w:p w:rsidR="0060271F" w:rsidRPr="00277578" w:rsidRDefault="0060271F" w:rsidP="00424DFF">
      <w:pPr>
        <w:spacing w:line="560" w:lineRule="exact"/>
        <w:ind w:firstLineChars="200" w:firstLine="640"/>
        <w:rPr>
          <w:rFonts w:ascii="宋体" w:hAnsi="宋体"/>
          <w:szCs w:val="21"/>
        </w:rPr>
      </w:pPr>
      <w:r w:rsidRPr="00277578">
        <w:rPr>
          <w:rFonts w:ascii="宋体" w:hAnsi="宋体"/>
          <w:szCs w:val="21"/>
        </w:rPr>
        <w:t>办公室：</w:t>
      </w:r>
      <w:r w:rsidR="00CB156A" w:rsidRPr="00277578">
        <w:rPr>
          <w:rFonts w:ascii="宋体" w:hAnsi="宋体"/>
          <w:szCs w:val="21"/>
        </w:rPr>
        <w:t>青岛大学浮山校区研发大楼</w:t>
      </w:r>
      <w:r w:rsidR="00CB156A" w:rsidRPr="00277578">
        <w:rPr>
          <w:rFonts w:ascii="宋体" w:hAnsi="宋体" w:hint="eastAsia"/>
          <w:szCs w:val="21"/>
        </w:rPr>
        <w:t>A</w:t>
      </w:r>
      <w:r w:rsidR="00CB156A" w:rsidRPr="00277578">
        <w:rPr>
          <w:rFonts w:ascii="宋体" w:hAnsi="宋体" w:hint="eastAsia"/>
          <w:szCs w:val="21"/>
        </w:rPr>
        <w:t>座</w:t>
      </w:r>
      <w:r w:rsidR="00CB156A" w:rsidRPr="00277578">
        <w:rPr>
          <w:rFonts w:ascii="宋体" w:hAnsi="宋体" w:hint="eastAsia"/>
          <w:szCs w:val="21"/>
        </w:rPr>
        <w:t>6</w:t>
      </w:r>
      <w:r w:rsidR="00CB156A" w:rsidRPr="00277578">
        <w:rPr>
          <w:rFonts w:ascii="宋体" w:hAnsi="宋体"/>
          <w:szCs w:val="21"/>
        </w:rPr>
        <w:t>13</w:t>
      </w:r>
      <w:r w:rsidR="00F76AF3">
        <w:rPr>
          <w:rFonts w:ascii="宋体" w:hAnsi="宋体" w:hint="eastAsia"/>
          <w:szCs w:val="21"/>
        </w:rPr>
        <w:t>室</w:t>
      </w:r>
    </w:p>
    <w:p w:rsidR="0060271F" w:rsidRPr="00277578" w:rsidRDefault="0060271F" w:rsidP="00424DFF">
      <w:pPr>
        <w:spacing w:line="560" w:lineRule="exact"/>
        <w:ind w:firstLineChars="200" w:firstLine="643"/>
        <w:rPr>
          <w:rFonts w:ascii="宋体" w:hAnsi="宋体"/>
          <w:b/>
          <w:szCs w:val="21"/>
        </w:rPr>
      </w:pPr>
      <w:r w:rsidRPr="00277578">
        <w:rPr>
          <w:rFonts w:ascii="宋体" w:hAnsi="宋体"/>
          <w:b/>
          <w:szCs w:val="21"/>
        </w:rPr>
        <w:t>八、教学计划</w:t>
      </w:r>
    </w:p>
    <w:p w:rsidR="0060271F" w:rsidRPr="00277578" w:rsidRDefault="0060271F" w:rsidP="0060271F">
      <w:pPr>
        <w:spacing w:line="560" w:lineRule="exact"/>
        <w:ind w:firstLineChars="200" w:firstLine="640"/>
        <w:rPr>
          <w:rFonts w:ascii="宋体" w:hAnsi="宋体"/>
          <w:szCs w:val="21"/>
        </w:rPr>
      </w:pPr>
      <w:r w:rsidRPr="00277578">
        <w:rPr>
          <w:rFonts w:ascii="宋体" w:hAnsi="宋体" w:hint="eastAsia"/>
          <w:szCs w:val="21"/>
        </w:rPr>
        <w:t>本专业共设置</w:t>
      </w:r>
      <w:r w:rsidRPr="00277578">
        <w:rPr>
          <w:rFonts w:ascii="宋体" w:hAnsi="宋体"/>
          <w:szCs w:val="21"/>
        </w:rPr>
        <w:t>6</w:t>
      </w:r>
      <w:r w:rsidRPr="00277578">
        <w:rPr>
          <w:rFonts w:ascii="宋体" w:hAnsi="宋体" w:hint="eastAsia"/>
          <w:szCs w:val="21"/>
        </w:rPr>
        <w:t>门专业核心课和</w:t>
      </w:r>
      <w:r w:rsidRPr="00277578">
        <w:rPr>
          <w:rFonts w:ascii="宋体" w:hAnsi="宋体" w:hint="eastAsia"/>
          <w:szCs w:val="21"/>
        </w:rPr>
        <w:t>1</w:t>
      </w:r>
      <w:r w:rsidRPr="00277578">
        <w:rPr>
          <w:rFonts w:ascii="宋体" w:hAnsi="宋体" w:hint="eastAsia"/>
          <w:szCs w:val="21"/>
        </w:rPr>
        <w:t>门实践课。有关课时安排详见附件</w:t>
      </w:r>
      <w:r w:rsidRPr="00277578">
        <w:rPr>
          <w:rFonts w:ascii="宋体" w:hAnsi="宋体" w:hint="eastAsia"/>
          <w:szCs w:val="21"/>
        </w:rPr>
        <w:t>1</w:t>
      </w:r>
      <w:r w:rsidRPr="00277578">
        <w:rPr>
          <w:rFonts w:ascii="宋体" w:hAnsi="宋体" w:hint="eastAsia"/>
          <w:szCs w:val="21"/>
        </w:rPr>
        <w:t>。</w:t>
      </w:r>
    </w:p>
    <w:p w:rsidR="0060271F" w:rsidRPr="00277578" w:rsidRDefault="001A6145" w:rsidP="00424DFF">
      <w:pPr>
        <w:spacing w:line="560" w:lineRule="exact"/>
        <w:ind w:firstLineChars="200" w:firstLine="640"/>
        <w:rPr>
          <w:rFonts w:ascii="宋体" w:hAnsi="宋体"/>
          <w:szCs w:val="21"/>
        </w:rPr>
        <w:sectPr w:rsidR="0060271F" w:rsidRPr="00277578" w:rsidSect="00277578">
          <w:footerReference w:type="default" r:id="rId6"/>
          <w:pgSz w:w="11906" w:h="16838"/>
          <w:pgMar w:top="1985" w:right="1474" w:bottom="1871" w:left="1588" w:header="851" w:footer="992" w:gutter="0"/>
          <w:pgNumType w:fmt="numberInDash"/>
          <w:cols w:space="425"/>
          <w:docGrid w:type="linesAndChars" w:linePitch="435"/>
        </w:sectPr>
      </w:pPr>
      <w:r w:rsidRPr="00277578">
        <w:rPr>
          <w:rFonts w:ascii="宋体" w:hAnsi="宋体"/>
          <w:szCs w:val="21"/>
        </w:rPr>
        <w:t xml:space="preserve"> </w:t>
      </w:r>
    </w:p>
    <w:p w:rsidR="0060271F" w:rsidRPr="00277578" w:rsidRDefault="0060271F" w:rsidP="0060271F">
      <w:pPr>
        <w:adjustRightInd w:val="0"/>
        <w:snapToGrid w:val="0"/>
        <w:spacing w:line="360" w:lineRule="auto"/>
        <w:ind w:left="1081" w:hangingChars="299" w:hanging="1081"/>
        <w:rPr>
          <w:b/>
          <w:bCs/>
          <w:sz w:val="36"/>
          <w:szCs w:val="44"/>
        </w:rPr>
      </w:pPr>
      <w:r w:rsidRPr="00277578">
        <w:rPr>
          <w:b/>
          <w:bCs/>
          <w:sz w:val="36"/>
          <w:szCs w:val="44"/>
        </w:rPr>
        <w:lastRenderedPageBreak/>
        <w:t>附件</w:t>
      </w:r>
      <w:r w:rsidRPr="00277578">
        <w:rPr>
          <w:rFonts w:hint="eastAsia"/>
          <w:b/>
          <w:bCs/>
          <w:sz w:val="36"/>
          <w:szCs w:val="44"/>
        </w:rPr>
        <w:t>1</w:t>
      </w:r>
      <w:r w:rsidRPr="00277578">
        <w:rPr>
          <w:rFonts w:hint="eastAsia"/>
          <w:b/>
          <w:bCs/>
          <w:sz w:val="36"/>
          <w:szCs w:val="44"/>
        </w:rPr>
        <w:t>：</w:t>
      </w:r>
    </w:p>
    <w:p w:rsidR="0060271F" w:rsidRPr="00277578" w:rsidRDefault="0060271F" w:rsidP="0060271F">
      <w:pPr>
        <w:jc w:val="center"/>
        <w:rPr>
          <w:sz w:val="36"/>
          <w:szCs w:val="44"/>
        </w:rPr>
      </w:pPr>
      <w:r w:rsidRPr="00277578">
        <w:rPr>
          <w:rFonts w:hint="eastAsia"/>
          <w:b/>
          <w:bCs/>
          <w:sz w:val="36"/>
          <w:szCs w:val="44"/>
        </w:rPr>
        <w:t>青岛大学“标准化与社会治理”微专业课程设置及学时分配表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37"/>
        <w:gridCol w:w="1380"/>
        <w:gridCol w:w="1471"/>
        <w:gridCol w:w="458"/>
        <w:gridCol w:w="458"/>
        <w:gridCol w:w="458"/>
        <w:gridCol w:w="458"/>
        <w:gridCol w:w="458"/>
        <w:gridCol w:w="339"/>
        <w:gridCol w:w="301"/>
        <w:gridCol w:w="301"/>
        <w:gridCol w:w="339"/>
        <w:gridCol w:w="301"/>
        <w:gridCol w:w="301"/>
        <w:gridCol w:w="339"/>
        <w:gridCol w:w="301"/>
        <w:gridCol w:w="301"/>
        <w:gridCol w:w="339"/>
        <w:gridCol w:w="301"/>
        <w:gridCol w:w="301"/>
        <w:gridCol w:w="636"/>
        <w:gridCol w:w="636"/>
        <w:gridCol w:w="990"/>
        <w:gridCol w:w="1167"/>
      </w:tblGrid>
      <w:tr w:rsidR="00893042" w:rsidRPr="00277578" w:rsidTr="00A33405">
        <w:trPr>
          <w:cantSplit/>
          <w:trHeight w:hRule="exact" w:val="357"/>
        </w:trPr>
        <w:tc>
          <w:tcPr>
            <w:tcW w:w="0" w:type="auto"/>
            <w:vMerge w:val="restart"/>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课程类型</w:t>
            </w:r>
          </w:p>
        </w:tc>
        <w:tc>
          <w:tcPr>
            <w:tcW w:w="0" w:type="auto"/>
            <w:vMerge w:val="restart"/>
            <w:vAlign w:val="center"/>
          </w:tcPr>
          <w:p w:rsidR="00893042" w:rsidRPr="00277578" w:rsidRDefault="00893042" w:rsidP="00A33405">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hint="eastAsia"/>
                <w:b/>
                <w:bCs/>
                <w:snapToGrid w:val="0"/>
                <w:spacing w:val="-14"/>
                <w:kern w:val="21"/>
                <w:sz w:val="18"/>
                <w:szCs w:val="18"/>
              </w:rPr>
              <w:t>课程号</w:t>
            </w:r>
          </w:p>
        </w:tc>
        <w:tc>
          <w:tcPr>
            <w:tcW w:w="0" w:type="auto"/>
            <w:vMerge w:val="restart"/>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课程名称</w:t>
            </w:r>
          </w:p>
        </w:tc>
        <w:tc>
          <w:tcPr>
            <w:tcW w:w="0" w:type="auto"/>
            <w:vMerge w:val="restart"/>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学分</w:t>
            </w:r>
          </w:p>
        </w:tc>
        <w:tc>
          <w:tcPr>
            <w:tcW w:w="0" w:type="auto"/>
            <w:vMerge w:val="restart"/>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学时</w:t>
            </w:r>
          </w:p>
        </w:tc>
        <w:tc>
          <w:tcPr>
            <w:tcW w:w="0" w:type="auto"/>
            <w:gridSpan w:val="3"/>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学时分配</w:t>
            </w:r>
          </w:p>
        </w:tc>
        <w:tc>
          <w:tcPr>
            <w:tcW w:w="0" w:type="auto"/>
            <w:gridSpan w:val="12"/>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建议修读学年学期</w:t>
            </w:r>
          </w:p>
        </w:tc>
        <w:tc>
          <w:tcPr>
            <w:tcW w:w="0" w:type="auto"/>
            <w:vMerge w:val="restart"/>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考核方式</w:t>
            </w:r>
          </w:p>
        </w:tc>
        <w:tc>
          <w:tcPr>
            <w:tcW w:w="0" w:type="auto"/>
            <w:vMerge w:val="restart"/>
            <w:tcBorders>
              <w:lef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考试方式</w:t>
            </w:r>
          </w:p>
        </w:tc>
        <w:tc>
          <w:tcPr>
            <w:tcW w:w="0" w:type="auto"/>
            <w:vMerge w:val="restart"/>
            <w:tcBorders>
              <w:right w:val="single" w:sz="4" w:space="0" w:color="auto"/>
            </w:tcBorders>
            <w:vAlign w:val="center"/>
          </w:tcPr>
          <w:p w:rsidR="00D64F8B"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先修</w:t>
            </w:r>
          </w:p>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课程</w:t>
            </w:r>
          </w:p>
        </w:tc>
        <w:tc>
          <w:tcPr>
            <w:tcW w:w="0" w:type="auto"/>
            <w:vMerge w:val="restart"/>
            <w:tcBorders>
              <w:left w:val="single" w:sz="4" w:space="0" w:color="auto"/>
            </w:tcBorders>
            <w:vAlign w:val="center"/>
          </w:tcPr>
          <w:p w:rsidR="00D64F8B"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开课</w:t>
            </w:r>
          </w:p>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单位</w:t>
            </w:r>
          </w:p>
        </w:tc>
      </w:tr>
      <w:tr w:rsidR="00893042" w:rsidRPr="00277578" w:rsidTr="00893042">
        <w:trPr>
          <w:cantSplit/>
          <w:trHeight w:hRule="exact" w:val="336"/>
        </w:trPr>
        <w:tc>
          <w:tcPr>
            <w:tcW w:w="0" w:type="auto"/>
            <w:vMerge/>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p>
        </w:tc>
        <w:tc>
          <w:tcPr>
            <w:tcW w:w="0" w:type="auto"/>
            <w:vMerge/>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p>
        </w:tc>
        <w:tc>
          <w:tcPr>
            <w:tcW w:w="0" w:type="auto"/>
            <w:vMerge/>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p>
        </w:tc>
        <w:tc>
          <w:tcPr>
            <w:tcW w:w="0" w:type="auto"/>
            <w:vMerge/>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p>
        </w:tc>
        <w:tc>
          <w:tcPr>
            <w:tcW w:w="0" w:type="auto"/>
            <w:vMerge/>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p>
        </w:tc>
        <w:tc>
          <w:tcPr>
            <w:tcW w:w="0" w:type="auto"/>
            <w:vMerge w:val="restart"/>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理论</w:t>
            </w:r>
          </w:p>
        </w:tc>
        <w:tc>
          <w:tcPr>
            <w:tcW w:w="0" w:type="auto"/>
            <w:vMerge w:val="restart"/>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实验</w:t>
            </w:r>
          </w:p>
        </w:tc>
        <w:tc>
          <w:tcPr>
            <w:tcW w:w="0" w:type="auto"/>
            <w:vMerge w:val="restart"/>
            <w:tcBorders>
              <w:top w:val="single" w:sz="4" w:space="0" w:color="auto"/>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实践</w:t>
            </w:r>
          </w:p>
        </w:tc>
        <w:tc>
          <w:tcPr>
            <w:tcW w:w="0" w:type="auto"/>
            <w:gridSpan w:val="3"/>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一</w:t>
            </w:r>
          </w:p>
        </w:tc>
        <w:tc>
          <w:tcPr>
            <w:tcW w:w="0" w:type="auto"/>
            <w:gridSpan w:val="3"/>
            <w:tcBorders>
              <w:top w:val="single" w:sz="4" w:space="0" w:color="auto"/>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二</w:t>
            </w:r>
          </w:p>
        </w:tc>
        <w:tc>
          <w:tcPr>
            <w:tcW w:w="0" w:type="auto"/>
            <w:gridSpan w:val="3"/>
            <w:tcBorders>
              <w:top w:val="single" w:sz="4" w:space="0" w:color="auto"/>
              <w:left w:val="single" w:sz="4" w:space="0" w:color="auto"/>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三</w:t>
            </w:r>
          </w:p>
        </w:tc>
        <w:tc>
          <w:tcPr>
            <w:tcW w:w="0" w:type="auto"/>
            <w:gridSpan w:val="3"/>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r w:rsidRPr="00277578">
              <w:rPr>
                <w:rFonts w:eastAsia="仿宋"/>
                <w:b/>
                <w:bCs/>
                <w:snapToGrid w:val="0"/>
                <w:spacing w:val="-14"/>
                <w:kern w:val="21"/>
                <w:sz w:val="18"/>
                <w:szCs w:val="18"/>
              </w:rPr>
              <w:t>四</w:t>
            </w:r>
          </w:p>
        </w:tc>
        <w:tc>
          <w:tcPr>
            <w:tcW w:w="0" w:type="auto"/>
            <w:vMerge/>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p>
        </w:tc>
        <w:tc>
          <w:tcPr>
            <w:tcW w:w="0" w:type="auto"/>
            <w:vMerge/>
            <w:tcBorders>
              <w:lef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p>
        </w:tc>
        <w:tc>
          <w:tcPr>
            <w:tcW w:w="0" w:type="auto"/>
            <w:vMerge/>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left"/>
              <w:rPr>
                <w:rFonts w:eastAsia="仿宋"/>
                <w:b/>
                <w:bCs/>
                <w:snapToGrid w:val="0"/>
                <w:spacing w:val="-14"/>
                <w:kern w:val="21"/>
                <w:sz w:val="18"/>
                <w:szCs w:val="18"/>
              </w:rPr>
            </w:pPr>
          </w:p>
        </w:tc>
        <w:tc>
          <w:tcPr>
            <w:tcW w:w="0" w:type="auto"/>
            <w:vMerge/>
            <w:tcBorders>
              <w:lef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rFonts w:eastAsia="仿宋"/>
                <w:b/>
                <w:bCs/>
                <w:snapToGrid w:val="0"/>
                <w:spacing w:val="-14"/>
                <w:kern w:val="21"/>
                <w:sz w:val="18"/>
                <w:szCs w:val="18"/>
              </w:rPr>
            </w:pPr>
          </w:p>
        </w:tc>
      </w:tr>
      <w:tr w:rsidR="00893042" w:rsidRPr="00277578" w:rsidTr="00893042">
        <w:trPr>
          <w:cantSplit/>
          <w:trHeight w:hRule="exact" w:val="372"/>
        </w:trPr>
        <w:tc>
          <w:tcPr>
            <w:tcW w:w="0" w:type="auto"/>
            <w:vMerge/>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S1</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1</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2</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S2</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3</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4</w:t>
            </w:r>
          </w:p>
        </w:tc>
        <w:tc>
          <w:tcPr>
            <w:tcW w:w="0" w:type="auto"/>
            <w:tcBorders>
              <w:left w:val="single" w:sz="4" w:space="0" w:color="auto"/>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S3</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5</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6</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S4</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7</w:t>
            </w:r>
          </w:p>
        </w:tc>
        <w:tc>
          <w:tcPr>
            <w:tcW w:w="0" w:type="auto"/>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34"/>
                <w:kern w:val="21"/>
                <w:sz w:val="18"/>
                <w:szCs w:val="18"/>
              </w:rPr>
            </w:pPr>
            <w:r w:rsidRPr="00277578">
              <w:rPr>
                <w:snapToGrid w:val="0"/>
                <w:spacing w:val="-34"/>
                <w:kern w:val="21"/>
                <w:sz w:val="18"/>
                <w:szCs w:val="18"/>
              </w:rPr>
              <w:t>8</w:t>
            </w:r>
          </w:p>
        </w:tc>
        <w:tc>
          <w:tcPr>
            <w:tcW w:w="0" w:type="auto"/>
            <w:vMerge/>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tcBorders>
              <w:lef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c>
          <w:tcPr>
            <w:tcW w:w="0" w:type="auto"/>
            <w:vMerge/>
            <w:tcBorders>
              <w:right w:val="single" w:sz="4" w:space="0" w:color="auto"/>
            </w:tcBorders>
            <w:vAlign w:val="center"/>
          </w:tcPr>
          <w:p w:rsidR="00893042" w:rsidRPr="00277578" w:rsidRDefault="00893042" w:rsidP="00D46112">
            <w:pPr>
              <w:kinsoku w:val="0"/>
              <w:overflowPunct w:val="0"/>
              <w:autoSpaceDE w:val="0"/>
              <w:autoSpaceDN w:val="0"/>
              <w:adjustRightInd w:val="0"/>
              <w:snapToGrid w:val="0"/>
              <w:jc w:val="left"/>
              <w:rPr>
                <w:snapToGrid w:val="0"/>
                <w:spacing w:val="-14"/>
                <w:kern w:val="21"/>
                <w:sz w:val="18"/>
                <w:szCs w:val="18"/>
              </w:rPr>
            </w:pPr>
          </w:p>
        </w:tc>
        <w:tc>
          <w:tcPr>
            <w:tcW w:w="0" w:type="auto"/>
            <w:vMerge/>
            <w:tcBorders>
              <w:left w:val="single" w:sz="4" w:space="0" w:color="auto"/>
            </w:tcBorders>
            <w:vAlign w:val="center"/>
          </w:tcPr>
          <w:p w:rsidR="00893042" w:rsidRPr="00277578" w:rsidRDefault="00893042" w:rsidP="00D46112">
            <w:pPr>
              <w:kinsoku w:val="0"/>
              <w:overflowPunct w:val="0"/>
              <w:autoSpaceDE w:val="0"/>
              <w:autoSpaceDN w:val="0"/>
              <w:adjustRightInd w:val="0"/>
              <w:snapToGrid w:val="0"/>
              <w:jc w:val="center"/>
              <w:rPr>
                <w:snapToGrid w:val="0"/>
                <w:spacing w:val="-14"/>
                <w:kern w:val="21"/>
                <w:sz w:val="18"/>
                <w:szCs w:val="18"/>
              </w:rPr>
            </w:pPr>
          </w:p>
        </w:tc>
      </w:tr>
      <w:tr w:rsidR="00893042" w:rsidRPr="00277578" w:rsidTr="00893042">
        <w:trPr>
          <w:cantSplit/>
          <w:trHeight w:hRule="exact" w:val="624"/>
        </w:trPr>
        <w:tc>
          <w:tcPr>
            <w:tcW w:w="0" w:type="auto"/>
            <w:tcBorders>
              <w:top w:val="single" w:sz="4" w:space="0" w:color="auto"/>
              <w:bottom w:val="single" w:sz="4" w:space="0" w:color="auto"/>
            </w:tcBorders>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专业课</w:t>
            </w:r>
          </w:p>
        </w:tc>
        <w:tc>
          <w:tcPr>
            <w:tcW w:w="0" w:type="auto"/>
          </w:tcPr>
          <w:p w:rsidR="00893042" w:rsidRPr="00277578" w:rsidRDefault="00C07F0A"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712WZ120700001</w:t>
            </w:r>
          </w:p>
        </w:tc>
        <w:tc>
          <w:tcPr>
            <w:tcW w:w="0" w:type="auto"/>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hint="eastAsia"/>
                <w:snapToGrid w:val="0"/>
                <w:spacing w:val="-14"/>
                <w:kern w:val="21"/>
                <w:sz w:val="18"/>
                <w:szCs w:val="18"/>
              </w:rPr>
              <w:t>标准化技术与方法</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3</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left w:val="single" w:sz="4" w:space="0" w:color="auto"/>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考查</w:t>
            </w:r>
          </w:p>
        </w:tc>
        <w:tc>
          <w:tcPr>
            <w:tcW w:w="0" w:type="auto"/>
            <w:tcBorders>
              <w:left w:val="single" w:sz="4" w:space="0" w:color="auto"/>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闭卷</w:t>
            </w:r>
          </w:p>
        </w:tc>
        <w:tc>
          <w:tcPr>
            <w:tcW w:w="0" w:type="auto"/>
            <w:tcBorders>
              <w:left w:val="single" w:sz="4" w:space="0" w:color="auto"/>
              <w:right w:val="single" w:sz="4" w:space="0" w:color="auto"/>
            </w:tcBorders>
            <w:vAlign w:val="center"/>
          </w:tcPr>
          <w:p w:rsidR="00893042" w:rsidRPr="00277578" w:rsidRDefault="00A33405"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无</w:t>
            </w:r>
          </w:p>
        </w:tc>
        <w:tc>
          <w:tcPr>
            <w:tcW w:w="0" w:type="auto"/>
            <w:tcBorders>
              <w:left w:val="single" w:sz="4" w:space="0" w:color="auto"/>
              <w:right w:val="single" w:sz="4" w:space="0" w:color="auto"/>
            </w:tcBorders>
            <w:vAlign w:val="center"/>
          </w:tcPr>
          <w:p w:rsidR="00893042" w:rsidRPr="00277578" w:rsidRDefault="00893042" w:rsidP="001A6145">
            <w:pPr>
              <w:snapToGrid w:val="0"/>
              <w:spacing w:line="240" w:lineRule="atLeast"/>
              <w:rPr>
                <w:rFonts w:eastAsia="仿宋"/>
                <w:snapToGrid w:val="0"/>
                <w:spacing w:val="-14"/>
                <w:kern w:val="21"/>
                <w:sz w:val="18"/>
                <w:szCs w:val="18"/>
              </w:rPr>
            </w:pPr>
            <w:r w:rsidRPr="00277578">
              <w:rPr>
                <w:rFonts w:eastAsia="仿宋" w:hint="eastAsia"/>
                <w:snapToGrid w:val="0"/>
                <w:spacing w:val="-14"/>
                <w:kern w:val="21"/>
                <w:sz w:val="18"/>
                <w:szCs w:val="18"/>
              </w:rPr>
              <w:t>质量与</w:t>
            </w:r>
            <w:r w:rsidRPr="00277578">
              <w:rPr>
                <w:rFonts w:eastAsia="仿宋"/>
                <w:snapToGrid w:val="0"/>
                <w:spacing w:val="-14"/>
                <w:kern w:val="21"/>
                <w:sz w:val="18"/>
                <w:szCs w:val="18"/>
              </w:rPr>
              <w:t>标准化</w:t>
            </w:r>
            <w:r w:rsidR="00D64F8B" w:rsidRPr="00277578">
              <w:rPr>
                <w:rFonts w:eastAsia="仿宋" w:hint="eastAsia"/>
                <w:snapToGrid w:val="0"/>
                <w:spacing w:val="-14"/>
                <w:kern w:val="21"/>
                <w:sz w:val="18"/>
                <w:szCs w:val="18"/>
              </w:rPr>
              <w:t>学院</w:t>
            </w:r>
            <w:r w:rsidRPr="00277578">
              <w:rPr>
                <w:rFonts w:eastAsia="仿宋"/>
                <w:snapToGrid w:val="0"/>
                <w:spacing w:val="-14"/>
                <w:kern w:val="21"/>
                <w:sz w:val="18"/>
                <w:szCs w:val="18"/>
              </w:rPr>
              <w:t>学院</w:t>
            </w:r>
          </w:p>
        </w:tc>
      </w:tr>
      <w:tr w:rsidR="00893042" w:rsidRPr="00277578" w:rsidTr="00893042">
        <w:trPr>
          <w:cantSplit/>
          <w:trHeight w:hRule="exact" w:val="624"/>
        </w:trPr>
        <w:tc>
          <w:tcPr>
            <w:tcW w:w="0" w:type="auto"/>
            <w:tcBorders>
              <w:top w:val="single" w:sz="4" w:space="0" w:color="auto"/>
              <w:bottom w:val="single" w:sz="4" w:space="0" w:color="auto"/>
            </w:tcBorders>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专业课</w:t>
            </w:r>
          </w:p>
        </w:tc>
        <w:tc>
          <w:tcPr>
            <w:tcW w:w="0" w:type="auto"/>
          </w:tcPr>
          <w:p w:rsidR="00893042" w:rsidRPr="00277578" w:rsidRDefault="00C07F0A"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712WZ120700002</w:t>
            </w:r>
          </w:p>
        </w:tc>
        <w:tc>
          <w:tcPr>
            <w:tcW w:w="0" w:type="auto"/>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hint="eastAsia"/>
                <w:snapToGrid w:val="0"/>
                <w:spacing w:val="-14"/>
                <w:kern w:val="21"/>
                <w:sz w:val="18"/>
                <w:szCs w:val="18"/>
              </w:rPr>
              <w:t>标准化与治理</w:t>
            </w:r>
            <w:r w:rsidRPr="00277578">
              <w:rPr>
                <w:rFonts w:eastAsia="仿宋" w:hint="eastAsia"/>
                <w:snapToGrid w:val="0"/>
                <w:spacing w:val="-14"/>
                <w:kern w:val="21"/>
                <w:sz w:val="18"/>
                <w:szCs w:val="18"/>
              </w:rPr>
              <w:t xml:space="preserve"> </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3</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left w:val="single" w:sz="4" w:space="0" w:color="auto"/>
              <w:right w:val="single" w:sz="4" w:space="0" w:color="auto"/>
            </w:tcBorders>
            <w:vAlign w:val="center"/>
          </w:tcPr>
          <w:p w:rsidR="00893042" w:rsidRPr="00277578" w:rsidRDefault="00893042" w:rsidP="001A6145">
            <w:pPr>
              <w:jc w:val="center"/>
              <w:rPr>
                <w:sz w:val="18"/>
                <w:szCs w:val="18"/>
              </w:rPr>
            </w:pPr>
            <w:r w:rsidRPr="00277578">
              <w:rPr>
                <w:rFonts w:eastAsia="仿宋"/>
                <w:snapToGrid w:val="0"/>
                <w:spacing w:val="-14"/>
                <w:kern w:val="21"/>
                <w:sz w:val="18"/>
                <w:szCs w:val="18"/>
              </w:rPr>
              <w:t>考查</w:t>
            </w:r>
          </w:p>
        </w:tc>
        <w:tc>
          <w:tcPr>
            <w:tcW w:w="0" w:type="auto"/>
            <w:tcBorders>
              <w:left w:val="single" w:sz="4" w:space="0" w:color="auto"/>
            </w:tcBorders>
            <w:vAlign w:val="center"/>
          </w:tcPr>
          <w:p w:rsidR="00893042" w:rsidRPr="00277578" w:rsidRDefault="00A33405"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开卷</w:t>
            </w:r>
          </w:p>
        </w:tc>
        <w:tc>
          <w:tcPr>
            <w:tcW w:w="0" w:type="auto"/>
            <w:tcBorders>
              <w:right w:val="single" w:sz="4" w:space="0" w:color="auto"/>
            </w:tcBorders>
            <w:vAlign w:val="center"/>
          </w:tcPr>
          <w:p w:rsidR="00893042" w:rsidRPr="00277578" w:rsidRDefault="00A33405"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无</w:t>
            </w:r>
          </w:p>
        </w:tc>
        <w:tc>
          <w:tcPr>
            <w:tcW w:w="0" w:type="auto"/>
            <w:tcBorders>
              <w:left w:val="single" w:sz="4" w:space="0" w:color="auto"/>
            </w:tcBorders>
          </w:tcPr>
          <w:p w:rsidR="00893042" w:rsidRPr="00277578" w:rsidRDefault="00893042" w:rsidP="001A6145">
            <w:pPr>
              <w:snapToGrid w:val="0"/>
              <w:spacing w:line="240" w:lineRule="atLeast"/>
              <w:rPr>
                <w:sz w:val="18"/>
                <w:szCs w:val="18"/>
              </w:rPr>
            </w:pPr>
            <w:r w:rsidRPr="00277578">
              <w:rPr>
                <w:rFonts w:eastAsia="仿宋" w:hint="eastAsia"/>
                <w:snapToGrid w:val="0"/>
                <w:spacing w:val="-14"/>
                <w:kern w:val="21"/>
                <w:sz w:val="18"/>
                <w:szCs w:val="18"/>
              </w:rPr>
              <w:t>质量与</w:t>
            </w:r>
            <w:r w:rsidRPr="00277578">
              <w:rPr>
                <w:rFonts w:eastAsia="仿宋"/>
                <w:snapToGrid w:val="0"/>
                <w:spacing w:val="-14"/>
                <w:kern w:val="21"/>
                <w:sz w:val="18"/>
                <w:szCs w:val="18"/>
              </w:rPr>
              <w:t>标准化学院</w:t>
            </w:r>
          </w:p>
        </w:tc>
      </w:tr>
      <w:tr w:rsidR="00893042" w:rsidRPr="00277578" w:rsidTr="00893042">
        <w:trPr>
          <w:cantSplit/>
          <w:trHeight w:hRule="exact" w:val="624"/>
        </w:trPr>
        <w:tc>
          <w:tcPr>
            <w:tcW w:w="0" w:type="auto"/>
            <w:tcBorders>
              <w:top w:val="single" w:sz="4" w:space="0" w:color="auto"/>
              <w:bottom w:val="single" w:sz="4" w:space="0" w:color="auto"/>
            </w:tcBorders>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专业课</w:t>
            </w:r>
          </w:p>
        </w:tc>
        <w:tc>
          <w:tcPr>
            <w:tcW w:w="0" w:type="auto"/>
          </w:tcPr>
          <w:p w:rsidR="00893042" w:rsidRPr="00277578" w:rsidRDefault="00C07F0A"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712WZ120700003</w:t>
            </w:r>
          </w:p>
        </w:tc>
        <w:tc>
          <w:tcPr>
            <w:tcW w:w="0" w:type="auto"/>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hint="eastAsia"/>
                <w:snapToGrid w:val="0"/>
                <w:spacing w:val="-14"/>
                <w:kern w:val="21"/>
                <w:sz w:val="18"/>
                <w:szCs w:val="18"/>
              </w:rPr>
              <w:t>卓越质量管理</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3</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tcBorders>
              <w:right w:val="single" w:sz="4" w:space="0" w:color="auto"/>
            </w:tcBorders>
            <w:vAlign w:val="center"/>
          </w:tcPr>
          <w:p w:rsidR="00893042" w:rsidRPr="00277578" w:rsidRDefault="00893042" w:rsidP="001A6145">
            <w:pPr>
              <w:jc w:val="center"/>
              <w:rPr>
                <w:sz w:val="18"/>
                <w:szCs w:val="18"/>
              </w:rPr>
            </w:pPr>
            <w:r w:rsidRPr="00277578">
              <w:rPr>
                <w:rFonts w:eastAsia="仿宋"/>
                <w:snapToGrid w:val="0"/>
                <w:spacing w:val="-14"/>
                <w:kern w:val="21"/>
                <w:sz w:val="18"/>
                <w:szCs w:val="18"/>
              </w:rPr>
              <w:t>考查</w:t>
            </w:r>
          </w:p>
        </w:tc>
        <w:tc>
          <w:tcPr>
            <w:tcW w:w="0" w:type="auto"/>
            <w:tcBorders>
              <w:left w:val="single" w:sz="4" w:space="0" w:color="auto"/>
            </w:tcBorders>
            <w:vAlign w:val="center"/>
          </w:tcPr>
          <w:p w:rsidR="00893042" w:rsidRPr="00277578" w:rsidRDefault="00A33405"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开卷</w:t>
            </w:r>
          </w:p>
        </w:tc>
        <w:tc>
          <w:tcPr>
            <w:tcW w:w="0" w:type="auto"/>
            <w:vAlign w:val="center"/>
          </w:tcPr>
          <w:p w:rsidR="00893042" w:rsidRPr="00277578" w:rsidRDefault="00A33405"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无</w:t>
            </w:r>
          </w:p>
        </w:tc>
        <w:tc>
          <w:tcPr>
            <w:tcW w:w="0" w:type="auto"/>
          </w:tcPr>
          <w:p w:rsidR="00893042" w:rsidRPr="00277578" w:rsidRDefault="00893042" w:rsidP="001A6145">
            <w:pPr>
              <w:snapToGrid w:val="0"/>
              <w:spacing w:line="240" w:lineRule="atLeast"/>
              <w:rPr>
                <w:sz w:val="18"/>
                <w:szCs w:val="18"/>
              </w:rPr>
            </w:pPr>
            <w:r w:rsidRPr="00277578">
              <w:rPr>
                <w:rFonts w:eastAsia="仿宋" w:hint="eastAsia"/>
                <w:snapToGrid w:val="0"/>
                <w:spacing w:val="-14"/>
                <w:kern w:val="21"/>
                <w:sz w:val="18"/>
                <w:szCs w:val="18"/>
              </w:rPr>
              <w:t>质量与</w:t>
            </w:r>
            <w:r w:rsidRPr="00277578">
              <w:rPr>
                <w:rFonts w:eastAsia="仿宋"/>
                <w:snapToGrid w:val="0"/>
                <w:spacing w:val="-14"/>
                <w:kern w:val="21"/>
                <w:sz w:val="18"/>
                <w:szCs w:val="18"/>
              </w:rPr>
              <w:t>标准化学院</w:t>
            </w:r>
          </w:p>
        </w:tc>
      </w:tr>
      <w:tr w:rsidR="00893042" w:rsidRPr="00277578" w:rsidTr="00893042">
        <w:trPr>
          <w:cantSplit/>
          <w:trHeight w:hRule="exact" w:val="624"/>
        </w:trPr>
        <w:tc>
          <w:tcPr>
            <w:tcW w:w="0" w:type="auto"/>
            <w:tcBorders>
              <w:top w:val="single" w:sz="4" w:space="0" w:color="auto"/>
              <w:bottom w:val="single" w:sz="4" w:space="0" w:color="auto"/>
            </w:tcBorders>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专业课</w:t>
            </w:r>
          </w:p>
        </w:tc>
        <w:tc>
          <w:tcPr>
            <w:tcW w:w="0" w:type="auto"/>
          </w:tcPr>
          <w:p w:rsidR="00893042" w:rsidRPr="00277578" w:rsidRDefault="00C07F0A"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712WZ120700004</w:t>
            </w:r>
          </w:p>
        </w:tc>
        <w:tc>
          <w:tcPr>
            <w:tcW w:w="0" w:type="auto"/>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hint="eastAsia"/>
                <w:snapToGrid w:val="0"/>
                <w:spacing w:val="-14"/>
                <w:kern w:val="21"/>
                <w:sz w:val="18"/>
                <w:szCs w:val="18"/>
              </w:rPr>
              <w:t>计量与合格评定</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3</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tcBorders>
              <w:right w:val="single" w:sz="4" w:space="0" w:color="auto"/>
            </w:tcBorders>
            <w:vAlign w:val="center"/>
          </w:tcPr>
          <w:p w:rsidR="00893042" w:rsidRPr="00277578" w:rsidRDefault="00893042" w:rsidP="001A6145">
            <w:pPr>
              <w:jc w:val="center"/>
              <w:rPr>
                <w:sz w:val="18"/>
                <w:szCs w:val="18"/>
              </w:rPr>
            </w:pPr>
            <w:r w:rsidRPr="00277578">
              <w:rPr>
                <w:rFonts w:eastAsia="仿宋"/>
                <w:snapToGrid w:val="0"/>
                <w:spacing w:val="-14"/>
                <w:kern w:val="21"/>
                <w:sz w:val="18"/>
                <w:szCs w:val="18"/>
              </w:rPr>
              <w:t>考查</w:t>
            </w: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闭卷</w:t>
            </w:r>
          </w:p>
        </w:tc>
        <w:tc>
          <w:tcPr>
            <w:tcW w:w="0" w:type="auto"/>
            <w:vAlign w:val="center"/>
          </w:tcPr>
          <w:p w:rsidR="00893042" w:rsidRPr="00277578" w:rsidRDefault="00A33405"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无</w:t>
            </w:r>
          </w:p>
        </w:tc>
        <w:tc>
          <w:tcPr>
            <w:tcW w:w="0" w:type="auto"/>
          </w:tcPr>
          <w:p w:rsidR="00893042" w:rsidRPr="00277578" w:rsidRDefault="00893042" w:rsidP="001A6145">
            <w:pPr>
              <w:snapToGrid w:val="0"/>
              <w:spacing w:line="240" w:lineRule="atLeast"/>
              <w:rPr>
                <w:sz w:val="18"/>
                <w:szCs w:val="18"/>
              </w:rPr>
            </w:pPr>
            <w:r w:rsidRPr="00277578">
              <w:rPr>
                <w:rFonts w:eastAsia="仿宋" w:hint="eastAsia"/>
                <w:snapToGrid w:val="0"/>
                <w:spacing w:val="-14"/>
                <w:kern w:val="21"/>
                <w:sz w:val="18"/>
                <w:szCs w:val="18"/>
              </w:rPr>
              <w:t>质量与</w:t>
            </w:r>
            <w:r w:rsidRPr="00277578">
              <w:rPr>
                <w:rFonts w:eastAsia="仿宋"/>
                <w:snapToGrid w:val="0"/>
                <w:spacing w:val="-14"/>
                <w:kern w:val="21"/>
                <w:sz w:val="18"/>
                <w:szCs w:val="18"/>
              </w:rPr>
              <w:t>标准化学院</w:t>
            </w:r>
          </w:p>
        </w:tc>
      </w:tr>
      <w:tr w:rsidR="00893042" w:rsidRPr="00277578" w:rsidTr="00893042">
        <w:trPr>
          <w:cantSplit/>
          <w:trHeight w:hRule="exact" w:val="624"/>
        </w:trPr>
        <w:tc>
          <w:tcPr>
            <w:tcW w:w="0" w:type="auto"/>
            <w:tcBorders>
              <w:top w:val="single" w:sz="4" w:space="0" w:color="auto"/>
              <w:bottom w:val="single" w:sz="4" w:space="0" w:color="auto"/>
            </w:tcBorders>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专业课</w:t>
            </w:r>
          </w:p>
        </w:tc>
        <w:tc>
          <w:tcPr>
            <w:tcW w:w="0" w:type="auto"/>
          </w:tcPr>
          <w:p w:rsidR="00893042" w:rsidRPr="00277578" w:rsidRDefault="00C07F0A"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712WZ120700005</w:t>
            </w:r>
          </w:p>
        </w:tc>
        <w:tc>
          <w:tcPr>
            <w:tcW w:w="0" w:type="auto"/>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hint="eastAsia"/>
                <w:snapToGrid w:val="0"/>
                <w:spacing w:val="-14"/>
                <w:kern w:val="21"/>
                <w:sz w:val="18"/>
                <w:szCs w:val="18"/>
              </w:rPr>
              <w:t>国际标准化</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3</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48</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jc w:val="center"/>
              <w:rPr>
                <w:sz w:val="18"/>
                <w:szCs w:val="18"/>
              </w:rPr>
            </w:pPr>
            <w:r w:rsidRPr="00277578">
              <w:rPr>
                <w:rFonts w:eastAsia="仿宋"/>
                <w:snapToGrid w:val="0"/>
                <w:spacing w:val="-14"/>
                <w:kern w:val="21"/>
                <w:sz w:val="18"/>
                <w:szCs w:val="18"/>
              </w:rPr>
              <w:t>考查</w:t>
            </w:r>
          </w:p>
        </w:tc>
        <w:tc>
          <w:tcPr>
            <w:tcW w:w="0" w:type="auto"/>
            <w:tcBorders>
              <w:left w:val="single" w:sz="4" w:space="0" w:color="auto"/>
            </w:tcBorders>
            <w:vAlign w:val="center"/>
          </w:tcPr>
          <w:p w:rsidR="00893042" w:rsidRPr="00277578" w:rsidRDefault="00A33405"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开</w:t>
            </w:r>
            <w:r w:rsidR="00893042" w:rsidRPr="00277578">
              <w:rPr>
                <w:rFonts w:eastAsia="仿宋"/>
                <w:snapToGrid w:val="0"/>
                <w:spacing w:val="-14"/>
                <w:kern w:val="21"/>
                <w:sz w:val="18"/>
                <w:szCs w:val="18"/>
              </w:rPr>
              <w:t>卷</w:t>
            </w:r>
          </w:p>
        </w:tc>
        <w:tc>
          <w:tcPr>
            <w:tcW w:w="0" w:type="auto"/>
            <w:vAlign w:val="center"/>
          </w:tcPr>
          <w:p w:rsidR="00893042" w:rsidRPr="00277578" w:rsidRDefault="00A33405"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无</w:t>
            </w:r>
          </w:p>
        </w:tc>
        <w:tc>
          <w:tcPr>
            <w:tcW w:w="0" w:type="auto"/>
          </w:tcPr>
          <w:p w:rsidR="00893042" w:rsidRPr="00277578" w:rsidRDefault="00893042" w:rsidP="001A6145">
            <w:pPr>
              <w:snapToGrid w:val="0"/>
              <w:spacing w:line="240" w:lineRule="atLeast"/>
              <w:rPr>
                <w:sz w:val="18"/>
                <w:szCs w:val="18"/>
              </w:rPr>
            </w:pPr>
            <w:r w:rsidRPr="00277578">
              <w:rPr>
                <w:rFonts w:eastAsia="仿宋" w:hint="eastAsia"/>
                <w:snapToGrid w:val="0"/>
                <w:spacing w:val="-14"/>
                <w:kern w:val="21"/>
                <w:sz w:val="18"/>
                <w:szCs w:val="18"/>
              </w:rPr>
              <w:t>质量与</w:t>
            </w:r>
            <w:r w:rsidRPr="00277578">
              <w:rPr>
                <w:rFonts w:eastAsia="仿宋"/>
                <w:snapToGrid w:val="0"/>
                <w:spacing w:val="-14"/>
                <w:kern w:val="21"/>
                <w:sz w:val="18"/>
                <w:szCs w:val="18"/>
              </w:rPr>
              <w:t>标准化学院</w:t>
            </w:r>
          </w:p>
        </w:tc>
      </w:tr>
      <w:tr w:rsidR="00893042" w:rsidRPr="00277578" w:rsidTr="00893042">
        <w:trPr>
          <w:cantSplit/>
          <w:trHeight w:hRule="exact" w:val="624"/>
        </w:trPr>
        <w:tc>
          <w:tcPr>
            <w:tcW w:w="0" w:type="auto"/>
            <w:tcBorders>
              <w:top w:val="single" w:sz="4" w:space="0" w:color="auto"/>
              <w:bottom w:val="single" w:sz="4" w:space="0" w:color="auto"/>
            </w:tcBorders>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专业课</w:t>
            </w:r>
          </w:p>
        </w:tc>
        <w:tc>
          <w:tcPr>
            <w:tcW w:w="0" w:type="auto"/>
          </w:tcPr>
          <w:p w:rsidR="00893042" w:rsidRPr="00277578" w:rsidRDefault="00C07F0A"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712WZ120700006</w:t>
            </w:r>
          </w:p>
        </w:tc>
        <w:tc>
          <w:tcPr>
            <w:tcW w:w="0" w:type="auto"/>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hint="eastAsia"/>
                <w:snapToGrid w:val="0"/>
                <w:spacing w:val="-14"/>
                <w:kern w:val="21"/>
                <w:sz w:val="18"/>
                <w:szCs w:val="18"/>
              </w:rPr>
              <w:t>标准化法律法规</w:t>
            </w:r>
            <w:r w:rsidR="00C07F0A" w:rsidRPr="00277578">
              <w:rPr>
                <w:rFonts w:eastAsia="仿宋" w:hint="eastAsia"/>
                <w:snapToGrid w:val="0"/>
                <w:spacing w:val="-14"/>
                <w:kern w:val="21"/>
                <w:sz w:val="18"/>
                <w:szCs w:val="18"/>
              </w:rPr>
              <w:t>与</w:t>
            </w:r>
            <w:r w:rsidR="00C07F0A" w:rsidRPr="00277578">
              <w:rPr>
                <w:rFonts w:eastAsia="仿宋" w:hint="eastAsia"/>
                <w:snapToGrid w:val="0"/>
                <w:spacing w:val="-14"/>
                <w:kern w:val="21"/>
                <w:sz w:val="18"/>
                <w:szCs w:val="18"/>
              </w:rPr>
              <w:t>W</w:t>
            </w:r>
            <w:r w:rsidR="00C07F0A" w:rsidRPr="00277578">
              <w:rPr>
                <w:rFonts w:eastAsia="仿宋"/>
                <w:snapToGrid w:val="0"/>
                <w:spacing w:val="-14"/>
                <w:kern w:val="21"/>
                <w:sz w:val="18"/>
                <w:szCs w:val="18"/>
              </w:rPr>
              <w:t>TO</w:t>
            </w:r>
            <w:r w:rsidR="00C07F0A" w:rsidRPr="00277578">
              <w:rPr>
                <w:rFonts w:eastAsia="仿宋"/>
                <w:snapToGrid w:val="0"/>
                <w:spacing w:val="-14"/>
                <w:kern w:val="21"/>
                <w:sz w:val="18"/>
                <w:szCs w:val="18"/>
              </w:rPr>
              <w:t>规则</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hint="eastAsia"/>
                <w:snapToGrid w:val="0"/>
                <w:spacing w:val="-14"/>
                <w:kern w:val="21"/>
                <w:sz w:val="18"/>
                <w:szCs w:val="18"/>
              </w:rPr>
              <w:t>2</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hint="eastAsia"/>
                <w:snapToGrid w:val="0"/>
                <w:spacing w:val="-14"/>
                <w:kern w:val="21"/>
                <w:sz w:val="18"/>
                <w:szCs w:val="18"/>
              </w:rPr>
              <w:t>3</w:t>
            </w:r>
            <w:r w:rsidRPr="00277578">
              <w:rPr>
                <w:rFonts w:eastAsia="仿宋"/>
                <w:snapToGrid w:val="0"/>
                <w:spacing w:val="-14"/>
                <w:kern w:val="21"/>
                <w:sz w:val="18"/>
                <w:szCs w:val="18"/>
              </w:rPr>
              <w:t>2</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hint="eastAsia"/>
                <w:snapToGrid w:val="0"/>
                <w:spacing w:val="-14"/>
                <w:kern w:val="21"/>
                <w:sz w:val="18"/>
                <w:szCs w:val="18"/>
              </w:rPr>
              <w:t>3</w:t>
            </w:r>
            <w:r w:rsidRPr="00277578">
              <w:rPr>
                <w:rFonts w:eastAsia="仿宋"/>
                <w:snapToGrid w:val="0"/>
                <w:spacing w:val="-14"/>
                <w:kern w:val="21"/>
                <w:sz w:val="18"/>
                <w:szCs w:val="18"/>
              </w:rPr>
              <w:t>2</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微软雅黑"/>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微软雅黑"/>
                <w:snapToGrid w:val="0"/>
                <w:spacing w:val="-14"/>
                <w:kern w:val="21"/>
                <w:sz w:val="18"/>
                <w:szCs w:val="18"/>
              </w:rPr>
            </w:pP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微软雅黑"/>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微软雅黑"/>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tcBorders>
              <w:right w:val="single" w:sz="4" w:space="0" w:color="auto"/>
            </w:tcBorders>
            <w:vAlign w:val="center"/>
          </w:tcPr>
          <w:p w:rsidR="00893042" w:rsidRPr="00277578" w:rsidRDefault="00893042" w:rsidP="001A6145">
            <w:pPr>
              <w:jc w:val="center"/>
              <w:rPr>
                <w:rFonts w:eastAsia="仿宋"/>
                <w:snapToGrid w:val="0"/>
                <w:spacing w:val="-14"/>
                <w:kern w:val="21"/>
                <w:sz w:val="18"/>
                <w:szCs w:val="18"/>
              </w:rPr>
            </w:pPr>
            <w:r w:rsidRPr="00277578">
              <w:rPr>
                <w:rFonts w:eastAsia="仿宋"/>
                <w:snapToGrid w:val="0"/>
                <w:spacing w:val="-14"/>
                <w:kern w:val="21"/>
                <w:sz w:val="18"/>
                <w:szCs w:val="18"/>
              </w:rPr>
              <w:t>考查</w:t>
            </w:r>
          </w:p>
        </w:tc>
        <w:tc>
          <w:tcPr>
            <w:tcW w:w="0" w:type="auto"/>
            <w:tcBorders>
              <w:left w:val="single" w:sz="4" w:space="0" w:color="auto"/>
            </w:tcBorders>
            <w:vAlign w:val="center"/>
          </w:tcPr>
          <w:p w:rsidR="00893042" w:rsidRPr="00277578" w:rsidRDefault="00A33405"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开</w:t>
            </w:r>
            <w:r w:rsidR="00893042" w:rsidRPr="00277578">
              <w:rPr>
                <w:rFonts w:eastAsia="仿宋"/>
                <w:snapToGrid w:val="0"/>
                <w:spacing w:val="-14"/>
                <w:kern w:val="21"/>
                <w:sz w:val="18"/>
                <w:szCs w:val="18"/>
              </w:rPr>
              <w:t>卷</w:t>
            </w:r>
          </w:p>
        </w:tc>
        <w:tc>
          <w:tcPr>
            <w:tcW w:w="0" w:type="auto"/>
            <w:vAlign w:val="center"/>
          </w:tcPr>
          <w:p w:rsidR="00893042" w:rsidRPr="00277578" w:rsidRDefault="00A33405"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无</w:t>
            </w:r>
          </w:p>
        </w:tc>
        <w:tc>
          <w:tcPr>
            <w:tcW w:w="0" w:type="auto"/>
          </w:tcPr>
          <w:p w:rsidR="00893042" w:rsidRPr="00277578" w:rsidRDefault="00893042" w:rsidP="001A6145">
            <w:pPr>
              <w:snapToGrid w:val="0"/>
              <w:spacing w:line="240" w:lineRule="atLeast"/>
              <w:rPr>
                <w:rFonts w:eastAsia="仿宋"/>
                <w:snapToGrid w:val="0"/>
                <w:spacing w:val="-14"/>
                <w:kern w:val="21"/>
                <w:sz w:val="18"/>
                <w:szCs w:val="18"/>
              </w:rPr>
            </w:pPr>
            <w:r w:rsidRPr="00277578">
              <w:rPr>
                <w:rFonts w:eastAsia="仿宋" w:hint="eastAsia"/>
                <w:snapToGrid w:val="0"/>
                <w:spacing w:val="-14"/>
                <w:kern w:val="21"/>
                <w:sz w:val="18"/>
                <w:szCs w:val="18"/>
              </w:rPr>
              <w:t>质量与标准化学院</w:t>
            </w:r>
          </w:p>
        </w:tc>
      </w:tr>
      <w:tr w:rsidR="00893042" w:rsidRPr="00277578" w:rsidTr="004A7AE1">
        <w:trPr>
          <w:cantSplit/>
          <w:trHeight w:hRule="exact" w:val="929"/>
        </w:trPr>
        <w:tc>
          <w:tcPr>
            <w:tcW w:w="0" w:type="auto"/>
            <w:tcBorders>
              <w:top w:val="single" w:sz="4" w:space="0" w:color="auto"/>
              <w:bottom w:val="single" w:sz="4" w:space="0" w:color="auto"/>
            </w:tcBorders>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实践环节</w:t>
            </w:r>
          </w:p>
        </w:tc>
        <w:tc>
          <w:tcPr>
            <w:tcW w:w="0" w:type="auto"/>
            <w:tcBorders>
              <w:top w:val="single" w:sz="4" w:space="0" w:color="auto"/>
              <w:bottom w:val="single" w:sz="4" w:space="0" w:color="auto"/>
            </w:tcBorders>
          </w:tcPr>
          <w:p w:rsidR="00893042" w:rsidRPr="00277578" w:rsidRDefault="00A33405"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712WZ120700007</w:t>
            </w:r>
          </w:p>
        </w:tc>
        <w:tc>
          <w:tcPr>
            <w:tcW w:w="0" w:type="auto"/>
            <w:tcBorders>
              <w:top w:val="single" w:sz="4" w:space="0" w:color="auto"/>
              <w:bottom w:val="single" w:sz="4" w:space="0" w:color="auto"/>
            </w:tcBorders>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hint="eastAsia"/>
                <w:snapToGrid w:val="0"/>
                <w:spacing w:val="-14"/>
                <w:kern w:val="21"/>
                <w:sz w:val="18"/>
                <w:szCs w:val="18"/>
              </w:rPr>
              <w:t>标准化与社会治理实践环节</w:t>
            </w: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textAlignment w:val="center"/>
              <w:rPr>
                <w:rFonts w:eastAsia="仿宋"/>
                <w:snapToGrid w:val="0"/>
                <w:color w:val="000000"/>
                <w:spacing w:val="-14"/>
                <w:kern w:val="21"/>
                <w:sz w:val="18"/>
                <w:szCs w:val="18"/>
              </w:rPr>
            </w:pPr>
            <w:r w:rsidRPr="00277578">
              <w:rPr>
                <w:rFonts w:eastAsia="仿宋" w:hint="eastAsia"/>
                <w:snapToGrid w:val="0"/>
                <w:color w:val="000000"/>
                <w:spacing w:val="-14"/>
                <w:kern w:val="21"/>
                <w:sz w:val="18"/>
                <w:szCs w:val="18"/>
              </w:rPr>
              <w:t>2</w:t>
            </w:r>
          </w:p>
        </w:tc>
        <w:tc>
          <w:tcPr>
            <w:tcW w:w="0" w:type="auto"/>
            <w:tcBorders>
              <w:left w:val="single" w:sz="4" w:space="0" w:color="auto"/>
            </w:tcBorders>
            <w:vAlign w:val="center"/>
          </w:tcPr>
          <w:p w:rsidR="00893042" w:rsidRPr="00277578" w:rsidRDefault="00C07F0A" w:rsidP="001A6145">
            <w:pPr>
              <w:kinsoku w:val="0"/>
              <w:overflowPunct w:val="0"/>
              <w:autoSpaceDE w:val="0"/>
              <w:autoSpaceDN w:val="0"/>
              <w:adjustRightInd w:val="0"/>
              <w:snapToGrid w:val="0"/>
              <w:jc w:val="center"/>
              <w:textAlignment w:val="center"/>
              <w:rPr>
                <w:rFonts w:eastAsia="仿宋"/>
                <w:snapToGrid w:val="0"/>
                <w:color w:val="000000"/>
                <w:spacing w:val="-14"/>
                <w:kern w:val="21"/>
                <w:sz w:val="18"/>
                <w:szCs w:val="18"/>
              </w:rPr>
            </w:pPr>
            <w:r w:rsidRPr="00277578">
              <w:rPr>
                <w:rFonts w:eastAsia="仿宋" w:hint="eastAsia"/>
                <w:snapToGrid w:val="0"/>
                <w:color w:val="000000"/>
                <w:spacing w:val="-14"/>
                <w:kern w:val="21"/>
                <w:sz w:val="18"/>
                <w:szCs w:val="18"/>
              </w:rPr>
              <w:t>2</w:t>
            </w:r>
            <w:r w:rsidRPr="00277578">
              <w:rPr>
                <w:rFonts w:eastAsia="仿宋" w:hint="eastAsia"/>
                <w:snapToGrid w:val="0"/>
                <w:color w:val="000000"/>
                <w:spacing w:val="-14"/>
                <w:kern w:val="21"/>
                <w:sz w:val="18"/>
                <w:szCs w:val="18"/>
              </w:rPr>
              <w:t>周</w:t>
            </w:r>
          </w:p>
        </w:tc>
        <w:tc>
          <w:tcPr>
            <w:tcW w:w="0" w:type="auto"/>
            <w:vAlign w:val="center"/>
          </w:tcPr>
          <w:p w:rsidR="00893042" w:rsidRPr="00277578" w:rsidRDefault="00893042" w:rsidP="001A6145">
            <w:pPr>
              <w:kinsoku w:val="0"/>
              <w:overflowPunct w:val="0"/>
              <w:autoSpaceDE w:val="0"/>
              <w:autoSpaceDN w:val="0"/>
              <w:adjustRightInd w:val="0"/>
              <w:snapToGrid w:val="0"/>
              <w:jc w:val="center"/>
              <w:textAlignment w:val="center"/>
              <w:rPr>
                <w:rFonts w:eastAsia="仿宋"/>
                <w:snapToGrid w:val="0"/>
                <w:color w:val="00000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2</w:t>
            </w:r>
            <w:r w:rsidRPr="00277578">
              <w:rPr>
                <w:rFonts w:eastAsia="仿宋"/>
                <w:snapToGrid w:val="0"/>
                <w:spacing w:val="-14"/>
                <w:kern w:val="21"/>
                <w:sz w:val="18"/>
                <w:szCs w:val="18"/>
              </w:rPr>
              <w:t>周</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微软雅黑"/>
                <w:snapToGrid w:val="0"/>
                <w:spacing w:val="-14"/>
                <w:kern w:val="21"/>
                <w:sz w:val="18"/>
                <w:szCs w:val="18"/>
              </w:rPr>
              <w:t>√</w:t>
            </w: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p>
        </w:tc>
        <w:tc>
          <w:tcPr>
            <w:tcW w:w="0" w:type="auto"/>
            <w:tcBorders>
              <w:right w:val="single" w:sz="4" w:space="0" w:color="auto"/>
            </w:tcBorders>
            <w:vAlign w:val="center"/>
          </w:tcPr>
          <w:p w:rsidR="00893042" w:rsidRPr="00277578" w:rsidRDefault="00893042" w:rsidP="001A6145">
            <w:pPr>
              <w:jc w:val="center"/>
              <w:rPr>
                <w:sz w:val="18"/>
                <w:szCs w:val="18"/>
              </w:rPr>
            </w:pPr>
            <w:r w:rsidRPr="00277578">
              <w:rPr>
                <w:rFonts w:eastAsia="仿宋"/>
                <w:snapToGrid w:val="0"/>
                <w:spacing w:val="-14"/>
                <w:kern w:val="21"/>
                <w:sz w:val="18"/>
                <w:szCs w:val="18"/>
              </w:rPr>
              <w:t>考查</w:t>
            </w:r>
          </w:p>
        </w:tc>
        <w:tc>
          <w:tcPr>
            <w:tcW w:w="0" w:type="auto"/>
            <w:tcBorders>
              <w:left w:val="single" w:sz="4" w:space="0" w:color="auto"/>
            </w:tcBorders>
            <w:vAlign w:val="center"/>
          </w:tcPr>
          <w:p w:rsidR="00893042" w:rsidRPr="00277578"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开卷</w:t>
            </w:r>
          </w:p>
        </w:tc>
        <w:tc>
          <w:tcPr>
            <w:tcW w:w="0" w:type="auto"/>
            <w:vAlign w:val="center"/>
          </w:tcPr>
          <w:p w:rsidR="00893042" w:rsidRPr="00277578" w:rsidRDefault="00893042" w:rsidP="001A6145">
            <w:pPr>
              <w:kinsoku w:val="0"/>
              <w:overflowPunct w:val="0"/>
              <w:autoSpaceDE w:val="0"/>
              <w:autoSpaceDN w:val="0"/>
              <w:adjustRightInd w:val="0"/>
              <w:snapToGrid w:val="0"/>
              <w:jc w:val="left"/>
              <w:rPr>
                <w:rFonts w:eastAsia="仿宋"/>
                <w:snapToGrid w:val="0"/>
                <w:spacing w:val="-14"/>
                <w:kern w:val="21"/>
                <w:sz w:val="18"/>
                <w:szCs w:val="18"/>
              </w:rPr>
            </w:pPr>
            <w:r w:rsidRPr="00277578">
              <w:rPr>
                <w:rFonts w:eastAsia="仿宋"/>
                <w:snapToGrid w:val="0"/>
                <w:spacing w:val="-14"/>
                <w:kern w:val="21"/>
                <w:sz w:val="18"/>
                <w:szCs w:val="18"/>
              </w:rPr>
              <w:t>标准化技术与方法</w:t>
            </w:r>
          </w:p>
        </w:tc>
        <w:tc>
          <w:tcPr>
            <w:tcW w:w="0" w:type="auto"/>
          </w:tcPr>
          <w:p w:rsidR="00893042" w:rsidRPr="00277578" w:rsidRDefault="00893042" w:rsidP="001A6145">
            <w:pPr>
              <w:snapToGrid w:val="0"/>
              <w:spacing w:line="240" w:lineRule="atLeast"/>
              <w:rPr>
                <w:sz w:val="18"/>
                <w:szCs w:val="18"/>
              </w:rPr>
            </w:pPr>
            <w:r w:rsidRPr="00277578">
              <w:rPr>
                <w:rFonts w:eastAsia="仿宋" w:hint="eastAsia"/>
                <w:snapToGrid w:val="0"/>
                <w:spacing w:val="-14"/>
                <w:kern w:val="21"/>
                <w:sz w:val="18"/>
                <w:szCs w:val="18"/>
              </w:rPr>
              <w:t>质量与</w:t>
            </w:r>
            <w:r w:rsidRPr="00277578">
              <w:rPr>
                <w:rFonts w:eastAsia="仿宋"/>
                <w:snapToGrid w:val="0"/>
                <w:spacing w:val="-14"/>
                <w:kern w:val="21"/>
                <w:sz w:val="18"/>
                <w:szCs w:val="18"/>
              </w:rPr>
              <w:t>标准化学院</w:t>
            </w:r>
          </w:p>
        </w:tc>
      </w:tr>
      <w:tr w:rsidR="00893042" w:rsidRPr="00C07F0A" w:rsidTr="00065D11">
        <w:trPr>
          <w:cantSplit/>
          <w:trHeight w:hRule="exact" w:val="429"/>
        </w:trPr>
        <w:tc>
          <w:tcPr>
            <w:tcW w:w="0" w:type="auto"/>
            <w:gridSpan w:val="3"/>
            <w:tcBorders>
              <w:top w:val="single" w:sz="4" w:space="0" w:color="auto"/>
              <w:bottom w:val="single" w:sz="12" w:space="0" w:color="auto"/>
            </w:tcBorders>
          </w:tcPr>
          <w:p w:rsidR="00893042" w:rsidRPr="00277578" w:rsidRDefault="00893042" w:rsidP="001A6145">
            <w:pPr>
              <w:kinsoku w:val="0"/>
              <w:overflowPunct w:val="0"/>
              <w:autoSpaceDE w:val="0"/>
              <w:autoSpaceDN w:val="0"/>
              <w:adjustRightInd w:val="0"/>
              <w:snapToGrid w:val="0"/>
              <w:jc w:val="center"/>
              <w:textAlignment w:val="center"/>
              <w:rPr>
                <w:rFonts w:eastAsia="仿宋"/>
                <w:snapToGrid w:val="0"/>
                <w:color w:val="000000"/>
                <w:spacing w:val="-14"/>
                <w:kern w:val="21"/>
                <w:sz w:val="18"/>
                <w:szCs w:val="18"/>
              </w:rPr>
            </w:pPr>
            <w:r w:rsidRPr="00277578">
              <w:rPr>
                <w:rFonts w:eastAsia="仿宋"/>
                <w:snapToGrid w:val="0"/>
                <w:color w:val="000000"/>
                <w:spacing w:val="-14"/>
                <w:kern w:val="21"/>
                <w:sz w:val="18"/>
                <w:szCs w:val="18"/>
              </w:rPr>
              <w:t>总学分</w:t>
            </w:r>
          </w:p>
        </w:tc>
        <w:tc>
          <w:tcPr>
            <w:tcW w:w="0" w:type="auto"/>
            <w:gridSpan w:val="21"/>
            <w:tcBorders>
              <w:bottom w:val="single" w:sz="12" w:space="0" w:color="auto"/>
            </w:tcBorders>
            <w:vAlign w:val="center"/>
          </w:tcPr>
          <w:p w:rsidR="00893042" w:rsidRPr="00C07F0A" w:rsidRDefault="00893042" w:rsidP="001A6145">
            <w:pPr>
              <w:kinsoku w:val="0"/>
              <w:overflowPunct w:val="0"/>
              <w:autoSpaceDE w:val="0"/>
              <w:autoSpaceDN w:val="0"/>
              <w:adjustRightInd w:val="0"/>
              <w:snapToGrid w:val="0"/>
              <w:jc w:val="center"/>
              <w:rPr>
                <w:rFonts w:eastAsia="仿宋"/>
                <w:snapToGrid w:val="0"/>
                <w:spacing w:val="-14"/>
                <w:kern w:val="21"/>
                <w:sz w:val="18"/>
                <w:szCs w:val="18"/>
              </w:rPr>
            </w:pPr>
            <w:r w:rsidRPr="00277578">
              <w:rPr>
                <w:rFonts w:eastAsia="仿宋"/>
                <w:snapToGrid w:val="0"/>
                <w:spacing w:val="-14"/>
                <w:kern w:val="21"/>
                <w:sz w:val="18"/>
                <w:szCs w:val="18"/>
              </w:rPr>
              <w:t>19</w:t>
            </w:r>
            <w:r w:rsidRPr="00277578">
              <w:rPr>
                <w:rFonts w:eastAsia="仿宋"/>
                <w:snapToGrid w:val="0"/>
                <w:spacing w:val="-14"/>
                <w:kern w:val="21"/>
                <w:sz w:val="18"/>
                <w:szCs w:val="18"/>
              </w:rPr>
              <w:t>学分</w:t>
            </w:r>
          </w:p>
        </w:tc>
      </w:tr>
    </w:tbl>
    <w:p w:rsidR="0060271F" w:rsidRDefault="0060271F" w:rsidP="0060271F"/>
    <w:sectPr w:rsidR="0060271F" w:rsidSect="005C7138">
      <w:pgSz w:w="16838" w:h="11906" w:orient="landscape"/>
      <w:pgMar w:top="1588" w:right="2098" w:bottom="1474" w:left="1985" w:header="851" w:footer="992" w:gutter="0"/>
      <w:pgNumType w:fmt="numberInDash"/>
      <w:cols w:space="425"/>
      <w:docGrid w:type="linesAndChar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73B" w:rsidRDefault="00C0573B">
      <w:r>
        <w:separator/>
      </w:r>
    </w:p>
  </w:endnote>
  <w:endnote w:type="continuationSeparator" w:id="0">
    <w:p w:rsidR="00C0573B" w:rsidRDefault="00C057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12455"/>
    </w:sdtPr>
    <w:sdtContent>
      <w:p w:rsidR="00855FFC" w:rsidRDefault="00E07073">
        <w:pPr>
          <w:pStyle w:val="a3"/>
          <w:jc w:val="right"/>
        </w:pPr>
        <w:r>
          <w:fldChar w:fldCharType="begin"/>
        </w:r>
        <w:r w:rsidR="00CB156A">
          <w:instrText xml:space="preserve"> PAGE   \* MERGEFORMAT </w:instrText>
        </w:r>
        <w:r>
          <w:fldChar w:fldCharType="separate"/>
        </w:r>
        <w:r w:rsidR="00F76AF3" w:rsidRPr="00F76AF3">
          <w:rPr>
            <w:noProof/>
            <w:lang w:val="zh-CN"/>
          </w:rPr>
          <w:t>-</w:t>
        </w:r>
        <w:r w:rsidR="00F76AF3">
          <w:rPr>
            <w:noProof/>
          </w:rPr>
          <w:t xml:space="preserve"> 4 -</w:t>
        </w:r>
        <w:r>
          <w:fldChar w:fldCharType="end"/>
        </w:r>
      </w:p>
    </w:sdtContent>
  </w:sdt>
  <w:p w:rsidR="00855FFC" w:rsidRDefault="00C0573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73B" w:rsidRDefault="00C0573B">
      <w:r>
        <w:separator/>
      </w:r>
    </w:p>
  </w:footnote>
  <w:footnote w:type="continuationSeparator" w:id="0">
    <w:p w:rsidR="00C0573B" w:rsidRDefault="00C057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271F"/>
    <w:rsid w:val="000079AA"/>
    <w:rsid w:val="0002759B"/>
    <w:rsid w:val="000B2BBF"/>
    <w:rsid w:val="00102512"/>
    <w:rsid w:val="00183EDC"/>
    <w:rsid w:val="001A6145"/>
    <w:rsid w:val="001C1D85"/>
    <w:rsid w:val="001D17C7"/>
    <w:rsid w:val="002020F4"/>
    <w:rsid w:val="00277578"/>
    <w:rsid w:val="002E2E7E"/>
    <w:rsid w:val="002E7691"/>
    <w:rsid w:val="003F7F94"/>
    <w:rsid w:val="00424DFF"/>
    <w:rsid w:val="00451DCC"/>
    <w:rsid w:val="004A7AE1"/>
    <w:rsid w:val="004F6736"/>
    <w:rsid w:val="0060271F"/>
    <w:rsid w:val="006F5C6C"/>
    <w:rsid w:val="006F6957"/>
    <w:rsid w:val="0070753C"/>
    <w:rsid w:val="0074478A"/>
    <w:rsid w:val="007465D8"/>
    <w:rsid w:val="0085189D"/>
    <w:rsid w:val="00886FB9"/>
    <w:rsid w:val="00893042"/>
    <w:rsid w:val="00990225"/>
    <w:rsid w:val="009E0CE3"/>
    <w:rsid w:val="009E7D5B"/>
    <w:rsid w:val="00A33405"/>
    <w:rsid w:val="00A412A1"/>
    <w:rsid w:val="00AD0165"/>
    <w:rsid w:val="00B12164"/>
    <w:rsid w:val="00B57444"/>
    <w:rsid w:val="00BD3C83"/>
    <w:rsid w:val="00BE5723"/>
    <w:rsid w:val="00C0573B"/>
    <w:rsid w:val="00C07F0A"/>
    <w:rsid w:val="00C807BF"/>
    <w:rsid w:val="00CB156A"/>
    <w:rsid w:val="00CC31B2"/>
    <w:rsid w:val="00D64F8B"/>
    <w:rsid w:val="00E07073"/>
    <w:rsid w:val="00E21A64"/>
    <w:rsid w:val="00F040F5"/>
    <w:rsid w:val="00F32D7F"/>
    <w:rsid w:val="00F76AF3"/>
    <w:rsid w:val="00F82AE7"/>
    <w:rsid w:val="00FF63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71F"/>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0271F"/>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60271F"/>
    <w:rPr>
      <w:rFonts w:ascii="Times New Roman" w:eastAsia="仿宋_GB2312" w:hAnsi="Times New Roman" w:cs="Times New Roman"/>
      <w:sz w:val="18"/>
      <w:szCs w:val="18"/>
    </w:rPr>
  </w:style>
  <w:style w:type="paragraph" w:styleId="a4">
    <w:name w:val="header"/>
    <w:basedOn w:val="a"/>
    <w:link w:val="Char0"/>
    <w:uiPriority w:val="99"/>
    <w:unhideWhenUsed/>
    <w:qFormat/>
    <w:rsid w:val="0060271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0271F"/>
    <w:rPr>
      <w:rFonts w:ascii="Times New Roman" w:eastAsia="仿宋_GB2312" w:hAnsi="Times New Roman" w:cs="Times New Roman"/>
      <w:sz w:val="18"/>
      <w:szCs w:val="18"/>
    </w:rPr>
  </w:style>
  <w:style w:type="paragraph" w:customStyle="1" w:styleId="1">
    <w:name w:val="样式1"/>
    <w:basedOn w:val="a"/>
    <w:qFormat/>
    <w:rsid w:val="0060271F"/>
    <w:pPr>
      <w:spacing w:line="210" w:lineRule="exact"/>
      <w:jc w:val="center"/>
    </w:pPr>
    <w:rPr>
      <w:rFonts w:ascii="宋体" w:hAnsi="宋体"/>
      <w:bCs/>
      <w:sz w:val="18"/>
      <w:szCs w:val="18"/>
    </w:rPr>
  </w:style>
  <w:style w:type="paragraph" w:styleId="a5">
    <w:name w:val="Date"/>
    <w:basedOn w:val="a"/>
    <w:next w:val="a"/>
    <w:link w:val="Char1"/>
    <w:uiPriority w:val="99"/>
    <w:semiHidden/>
    <w:unhideWhenUsed/>
    <w:rsid w:val="0060271F"/>
    <w:pPr>
      <w:ind w:leftChars="2500" w:left="100"/>
    </w:pPr>
  </w:style>
  <w:style w:type="character" w:customStyle="1" w:styleId="Char1">
    <w:name w:val="日期 Char"/>
    <w:basedOn w:val="a0"/>
    <w:link w:val="a5"/>
    <w:uiPriority w:val="99"/>
    <w:semiHidden/>
    <w:rsid w:val="0060271F"/>
    <w:rPr>
      <w:rFonts w:ascii="Times New Roman" w:eastAsia="仿宋_GB2312" w:hAnsi="Times New Roman" w:cs="Times New Roman"/>
      <w:sz w:val="32"/>
      <w:szCs w:val="24"/>
    </w:rPr>
  </w:style>
  <w:style w:type="paragraph" w:styleId="a6">
    <w:name w:val="Balloon Text"/>
    <w:basedOn w:val="a"/>
    <w:link w:val="Char2"/>
    <w:uiPriority w:val="99"/>
    <w:semiHidden/>
    <w:unhideWhenUsed/>
    <w:rsid w:val="000079AA"/>
    <w:rPr>
      <w:sz w:val="18"/>
      <w:szCs w:val="18"/>
    </w:rPr>
  </w:style>
  <w:style w:type="character" w:customStyle="1" w:styleId="Char2">
    <w:name w:val="批注框文本 Char"/>
    <w:basedOn w:val="a0"/>
    <w:link w:val="a6"/>
    <w:uiPriority w:val="99"/>
    <w:semiHidden/>
    <w:rsid w:val="000079AA"/>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TotalTime>
  <Pages>4</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dc:creator>
  <cp:keywords/>
  <dc:description/>
  <cp:lastModifiedBy>微软用户</cp:lastModifiedBy>
  <cp:revision>9</cp:revision>
  <dcterms:created xsi:type="dcterms:W3CDTF">2022-09-05T09:06:00Z</dcterms:created>
  <dcterms:modified xsi:type="dcterms:W3CDTF">2022-10-14T08:19:00Z</dcterms:modified>
</cp:coreProperties>
</file>